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5" w:rsidRDefault="004F3C6F" w:rsidP="00BD2385">
      <w:pPr>
        <w:jc w:val="center"/>
        <w:rPr>
          <w:b/>
          <w:vertAlign w:val="subscript"/>
        </w:rPr>
      </w:pPr>
      <w:r>
        <w:rPr>
          <w:b/>
        </w:rPr>
        <w:t>Determining the</w:t>
      </w:r>
      <w:r w:rsidR="00BD2385" w:rsidRPr="004E6A3E">
        <w:rPr>
          <w:b/>
        </w:rPr>
        <w:t xml:space="preserve"> Equilibrium Constant</w:t>
      </w:r>
      <w:r>
        <w:rPr>
          <w:b/>
        </w:rPr>
        <w:t>,</w:t>
      </w:r>
      <w:r w:rsidR="00BD2385" w:rsidRPr="004E6A3E">
        <w:rPr>
          <w:b/>
        </w:rPr>
        <w:t xml:space="preserve"> </w:t>
      </w:r>
      <w:proofErr w:type="spellStart"/>
      <w:r w:rsidR="00BD2385" w:rsidRPr="004E6A3E">
        <w:rPr>
          <w:b/>
        </w:rPr>
        <w:t>K</w:t>
      </w:r>
      <w:r w:rsidR="00BD2385" w:rsidRPr="004E6A3E">
        <w:rPr>
          <w:b/>
          <w:vertAlign w:val="subscript"/>
        </w:rPr>
        <w:t>eq</w:t>
      </w:r>
      <w:proofErr w:type="spellEnd"/>
    </w:p>
    <w:p w:rsidR="00D9728C" w:rsidRPr="00D9728C" w:rsidRDefault="00D9728C" w:rsidP="00BD2385">
      <w:pPr>
        <w:jc w:val="center"/>
        <w:rPr>
          <w:i/>
          <w:sz w:val="20"/>
        </w:rPr>
      </w:pPr>
      <w:r w:rsidRPr="00D9728C">
        <w:rPr>
          <w:i/>
          <w:sz w:val="20"/>
        </w:rPr>
        <w:t>Method A</w:t>
      </w:r>
    </w:p>
    <w:p w:rsidR="00BD2385" w:rsidRDefault="00BD2385" w:rsidP="00BD2385"/>
    <w:p w:rsidR="00D13054" w:rsidRDefault="00D13054" w:rsidP="00D13054">
      <w:r w:rsidRPr="004E6A3E">
        <w:rPr>
          <w:b/>
          <w:u w:val="single"/>
        </w:rPr>
        <w:t>Purpose</w:t>
      </w:r>
      <w:r>
        <w:t>:</w:t>
      </w:r>
      <w:r>
        <w:tab/>
      </w:r>
    </w:p>
    <w:p w:rsidR="00D13054" w:rsidRDefault="00D13054" w:rsidP="00D13054">
      <w:pPr>
        <w:pStyle w:val="ListParagraph"/>
        <w:numPr>
          <w:ilvl w:val="0"/>
          <w:numId w:val="4"/>
        </w:numPr>
      </w:pPr>
      <w:r>
        <w:t xml:space="preserve">Determine the equilibrium constant, </w:t>
      </w:r>
      <w:proofErr w:type="spellStart"/>
      <w:r>
        <w:t>K</w:t>
      </w:r>
      <w:r w:rsidRPr="00D13054">
        <w:rPr>
          <w:vertAlign w:val="subscript"/>
        </w:rPr>
        <w:t>eq</w:t>
      </w:r>
      <w:proofErr w:type="spellEnd"/>
      <w:r>
        <w:t xml:space="preserve">, for the formation of Iron (III) </w:t>
      </w:r>
      <w:proofErr w:type="spellStart"/>
      <w:r>
        <w:t>Thiocyanate</w:t>
      </w:r>
      <w:proofErr w:type="spellEnd"/>
      <w:r>
        <w:t xml:space="preserve"> ion at room temperature.  </w:t>
      </w:r>
    </w:p>
    <w:p w:rsidR="00D13054" w:rsidRDefault="00D13054" w:rsidP="00D13054"/>
    <w:p w:rsidR="00D13054" w:rsidRDefault="00D13054" w:rsidP="00D13054">
      <w:pPr>
        <w:pStyle w:val="ListParagraph"/>
        <w:numPr>
          <w:ilvl w:val="0"/>
          <w:numId w:val="4"/>
        </w:numPr>
      </w:pPr>
      <w:r>
        <w:t>Prove that the equilibrium constant is unaffected by concentration changes.</w:t>
      </w:r>
    </w:p>
    <w:p w:rsidR="00D13054" w:rsidRDefault="00D13054" w:rsidP="00D13054"/>
    <w:p w:rsidR="00D13054" w:rsidRPr="00D13054" w:rsidRDefault="00D13054" w:rsidP="00BD2385">
      <w:pPr>
        <w:rPr>
          <w:b/>
          <w:u w:val="single"/>
        </w:rPr>
      </w:pPr>
      <w:r w:rsidRPr="00D13054">
        <w:rPr>
          <w:b/>
          <w:u w:val="single"/>
        </w:rPr>
        <w:t>Pre-Lab Information</w:t>
      </w:r>
    </w:p>
    <w:p w:rsidR="00FE002C" w:rsidRDefault="00BD2385" w:rsidP="00BD2385">
      <w:r>
        <w:t xml:space="preserve">This experiment will deal with the reversible formation of the Iron (III) </w:t>
      </w:r>
      <w:proofErr w:type="spellStart"/>
      <w:r>
        <w:t>Thiocyanate</w:t>
      </w:r>
      <w:proofErr w:type="spellEnd"/>
      <w:r>
        <w:t xml:space="preserve"> complex ion.  </w:t>
      </w:r>
    </w:p>
    <w:p w:rsidR="00BD2385" w:rsidRDefault="00BD2385" w:rsidP="00FE002C">
      <w:pPr>
        <w:jc w:val="center"/>
      </w:pPr>
      <w:r>
        <w:t>Fe</w:t>
      </w:r>
      <w:r w:rsidRPr="00FE002C">
        <w:rPr>
          <w:vertAlign w:val="superscript"/>
        </w:rPr>
        <w:t>3+</w:t>
      </w:r>
      <w:r w:rsidRPr="00FE002C">
        <w:rPr>
          <w:vertAlign w:val="subscript"/>
        </w:rPr>
        <w:t>(aq)</w:t>
      </w:r>
      <w:r>
        <w:t xml:space="preserve"> + SCN</w:t>
      </w:r>
      <w:r w:rsidRPr="00FE002C">
        <w:rPr>
          <w:vertAlign w:val="superscript"/>
        </w:rPr>
        <w:t>-</w:t>
      </w:r>
      <w:r w:rsidRPr="00FE002C">
        <w:rPr>
          <w:vertAlign w:val="subscript"/>
        </w:rPr>
        <w:t>(aq)</w:t>
      </w:r>
      <w:r>
        <w:t xml:space="preserve"> </w:t>
      </w:r>
      <w:r>
        <w:sym w:font="Wingdings 3" w:char="F044"/>
      </w:r>
      <w:r>
        <w:t xml:space="preserve"> FeSCN</w:t>
      </w:r>
      <w:r w:rsidRPr="00FE002C">
        <w:rPr>
          <w:vertAlign w:val="superscript"/>
        </w:rPr>
        <w:t>2+</w:t>
      </w:r>
      <w:r w:rsidRPr="00FE002C">
        <w:rPr>
          <w:vertAlign w:val="subscript"/>
        </w:rPr>
        <w:t>(aq)</w:t>
      </w:r>
    </w:p>
    <w:p w:rsidR="00BD2385" w:rsidRDefault="00BD2385" w:rsidP="00BD2385"/>
    <w:p w:rsidR="00BD2385" w:rsidRDefault="00F41E2F" w:rsidP="00BD2385">
      <w:r>
        <w:t xml:space="preserve">In this lab, you will be measuring colour intensities to determine the equilibrium concentration of iron (III) </w:t>
      </w:r>
      <w:proofErr w:type="spellStart"/>
      <w:r>
        <w:t>thiocyanate</w:t>
      </w:r>
      <w:proofErr w:type="spellEnd"/>
      <w:r>
        <w:t>.  To do this, you will use a spectrophotometer to measure the absorbance of light and with this information and Beer’s Law, you will be able to calculate the equilibrium concentration</w:t>
      </w:r>
      <w:r w:rsidR="00D13054">
        <w:t xml:space="preserve"> of FeSCN</w:t>
      </w:r>
      <w:r w:rsidR="00D13054" w:rsidRPr="00FE002C">
        <w:rPr>
          <w:vertAlign w:val="superscript"/>
        </w:rPr>
        <w:t>2+</w:t>
      </w:r>
      <w:r>
        <w:t xml:space="preserve">.  However, you </w:t>
      </w:r>
      <w:r w:rsidR="00D13054">
        <w:t xml:space="preserve">still need to make use of </w:t>
      </w:r>
      <w:r>
        <w:t xml:space="preserve">ICE tables to determine the equilibrium concentrations of </w:t>
      </w:r>
      <w:r w:rsidR="00D13054">
        <w:t>Fe</w:t>
      </w:r>
      <w:r w:rsidR="00D13054" w:rsidRPr="00FE002C">
        <w:rPr>
          <w:vertAlign w:val="superscript"/>
        </w:rPr>
        <w:t>3+</w:t>
      </w:r>
      <w:r w:rsidR="00D13054">
        <w:t xml:space="preserve"> and SCN</w:t>
      </w:r>
      <w:r w:rsidR="00D13054" w:rsidRPr="00FE002C">
        <w:rPr>
          <w:vertAlign w:val="superscript"/>
        </w:rPr>
        <w:t>-</w:t>
      </w:r>
      <w:r>
        <w:t xml:space="preserve"> in order to calculate the equilibrium constant for this reaction.</w:t>
      </w:r>
    </w:p>
    <w:p w:rsidR="00BD2385" w:rsidRDefault="00BD2385" w:rsidP="00BD2385"/>
    <w:p w:rsidR="00BD2385" w:rsidRDefault="00BD2385" w:rsidP="00BD2385">
      <w:r w:rsidRPr="004E6A3E">
        <w:rPr>
          <w:b/>
          <w:u w:val="single"/>
        </w:rPr>
        <w:t>Materials</w:t>
      </w:r>
      <w:r>
        <w:t>:</w:t>
      </w:r>
    </w:p>
    <w:p w:rsidR="00D13054" w:rsidRDefault="00BD2385" w:rsidP="00BD2385">
      <w:r>
        <w:t>0.001mol/L KSCN</w:t>
      </w:r>
      <w:r>
        <w:tab/>
      </w:r>
      <w:r>
        <w:tab/>
      </w:r>
      <w:r>
        <w:tab/>
      </w:r>
      <w:r w:rsidR="00D13054">
        <w:t>Fe(NO</w:t>
      </w:r>
      <w:r w:rsidR="00D13054" w:rsidRPr="004E6A3E">
        <w:rPr>
          <w:vertAlign w:val="subscript"/>
        </w:rPr>
        <w:t>3</w:t>
      </w:r>
      <w:r w:rsidR="00D13054">
        <w:t>)</w:t>
      </w:r>
      <w:r w:rsidR="00D13054" w:rsidRPr="004E6A3E">
        <w:rPr>
          <w:vertAlign w:val="subscript"/>
        </w:rPr>
        <w:t>3</w:t>
      </w:r>
      <w:r w:rsidR="00D13054">
        <w:t xml:space="preserve"> solutions (0.01M, 0.008M, 0.005M)</w:t>
      </w:r>
      <w:r w:rsidR="00D13054">
        <w:tab/>
      </w:r>
    </w:p>
    <w:p w:rsidR="00BD2385" w:rsidRDefault="00D13054" w:rsidP="00BD2385">
      <w:r>
        <w:t>3 test tubes</w:t>
      </w:r>
      <w:r>
        <w:tab/>
      </w:r>
      <w:r>
        <w:tab/>
        <w:t>3</w:t>
      </w:r>
      <w:r w:rsidR="00BD2385">
        <w:t xml:space="preserve"> matched </w:t>
      </w:r>
      <w:proofErr w:type="spellStart"/>
      <w:r w:rsidR="00BD2385">
        <w:t>cuvettes</w:t>
      </w:r>
      <w:proofErr w:type="spellEnd"/>
      <w:r>
        <w:tab/>
      </w:r>
      <w:r>
        <w:tab/>
        <w:t>pipettes</w:t>
      </w:r>
      <w:r>
        <w:tab/>
      </w:r>
      <w:r w:rsidR="00BD2385">
        <w:t>spectrophotometer</w:t>
      </w:r>
      <w:r w:rsidR="00BD2385">
        <w:tab/>
      </w:r>
    </w:p>
    <w:p w:rsidR="00BD2385" w:rsidRDefault="00BD2385" w:rsidP="00BD2385"/>
    <w:p w:rsidR="00BD2385" w:rsidRDefault="00BD2385" w:rsidP="00BD2385">
      <w:r w:rsidRPr="004E6A3E">
        <w:rPr>
          <w:b/>
          <w:u w:val="single"/>
        </w:rPr>
        <w:t>Procedure</w:t>
      </w:r>
      <w:r>
        <w:t>:</w:t>
      </w:r>
    </w:p>
    <w:p w:rsidR="00BD2385" w:rsidRPr="00207C50" w:rsidRDefault="006326A7" w:rsidP="00BD2385">
      <w:pPr>
        <w:pStyle w:val="ListParagraph"/>
        <w:numPr>
          <w:ilvl w:val="0"/>
          <w:numId w:val="2"/>
        </w:numPr>
        <w:ind w:left="360"/>
      </w:pPr>
      <w:r>
        <w:t xml:space="preserve">Pipette 5 </w:t>
      </w:r>
      <w:proofErr w:type="spellStart"/>
      <w:r w:rsidR="00BD2385">
        <w:t>mL</w:t>
      </w:r>
      <w:proofErr w:type="spellEnd"/>
      <w:r w:rsidR="00BD2385">
        <w:t xml:space="preserve"> of each </w:t>
      </w:r>
      <w:r>
        <w:t>Fe(NO</w:t>
      </w:r>
      <w:r w:rsidRPr="006326A7">
        <w:rPr>
          <w:vertAlign w:val="subscript"/>
        </w:rPr>
        <w:t>3</w:t>
      </w:r>
      <w:r>
        <w:t>)</w:t>
      </w:r>
      <w:r w:rsidRPr="006326A7">
        <w:rPr>
          <w:vertAlign w:val="subscript"/>
        </w:rPr>
        <w:t>3</w:t>
      </w:r>
      <w:r>
        <w:t xml:space="preserve"> solution into three different test tubes. </w:t>
      </w:r>
      <w:r w:rsidR="00BD2385">
        <w:br/>
      </w:r>
    </w:p>
    <w:p w:rsidR="00BD2385" w:rsidRPr="00207C50" w:rsidRDefault="006326A7" w:rsidP="00BD2385">
      <w:pPr>
        <w:pStyle w:val="ListParagraph"/>
        <w:numPr>
          <w:ilvl w:val="0"/>
          <w:numId w:val="2"/>
        </w:numPr>
        <w:ind w:left="360"/>
      </w:pPr>
      <w:r>
        <w:t>P</w:t>
      </w:r>
      <w:r w:rsidR="00BD2385">
        <w:t>ipette 5</w:t>
      </w:r>
      <w:r>
        <w:t xml:space="preserve"> </w:t>
      </w:r>
      <w:proofErr w:type="spellStart"/>
      <w:r w:rsidR="00BD2385">
        <w:t>mL</w:t>
      </w:r>
      <w:proofErr w:type="spellEnd"/>
      <w:r w:rsidR="00BD2385">
        <w:t xml:space="preserve"> of </w:t>
      </w:r>
      <w:r w:rsidR="00F41E2F">
        <w:t xml:space="preserve">0.001M </w:t>
      </w:r>
      <w:r w:rsidR="00BD2385">
        <w:t xml:space="preserve">KSCN </w:t>
      </w:r>
      <w:r>
        <w:t>in</w:t>
      </w:r>
      <w:r w:rsidR="00BD2385">
        <w:t xml:space="preserve">to </w:t>
      </w:r>
      <w:r>
        <w:t>each of the three test tubes</w:t>
      </w:r>
      <w:r w:rsidR="00BD2385">
        <w:t>.</w:t>
      </w:r>
      <w:r w:rsidR="00BD2385">
        <w:br/>
      </w:r>
    </w:p>
    <w:p w:rsidR="00BD2385" w:rsidRDefault="00577D26" w:rsidP="00BD2385">
      <w:pPr>
        <w:pStyle w:val="ListParagraph"/>
        <w:numPr>
          <w:ilvl w:val="0"/>
          <w:numId w:val="2"/>
        </w:numPr>
        <w:ind w:left="360"/>
      </w:pPr>
      <w:r>
        <w:t>Starting with test tube 1, pour the contents in a cuvette until it is ¾ full</w:t>
      </w:r>
      <w:r w:rsidR="00BD2385">
        <w:t>.  Do not over fill.  Repeat for the remaining test tubes.</w:t>
      </w:r>
      <w:r w:rsidR="00BD2385">
        <w:br/>
      </w:r>
    </w:p>
    <w:p w:rsidR="00BD2385" w:rsidRDefault="00577D26" w:rsidP="00BD2385">
      <w:pPr>
        <w:pStyle w:val="ListParagraph"/>
        <w:numPr>
          <w:ilvl w:val="0"/>
          <w:numId w:val="2"/>
        </w:numPr>
        <w:ind w:left="360"/>
      </w:pPr>
      <w:r>
        <w:t xml:space="preserve">Take the </w:t>
      </w:r>
      <w:proofErr w:type="spellStart"/>
      <w:r>
        <w:t>cuvettes</w:t>
      </w:r>
      <w:proofErr w:type="spellEnd"/>
      <w:r>
        <w:t xml:space="preserve"> </w:t>
      </w:r>
      <w:r w:rsidR="00BD2385">
        <w:t xml:space="preserve">to the spectrophotometer and record the absorbance for each solution.  Make sure to wipe the </w:t>
      </w:r>
      <w:r>
        <w:t xml:space="preserve">outside of the </w:t>
      </w:r>
      <w:proofErr w:type="spellStart"/>
      <w:r w:rsidR="00BD2385">
        <w:t>cuvette</w:t>
      </w:r>
      <w:proofErr w:type="spellEnd"/>
      <w:r w:rsidR="00BD2385">
        <w:t xml:space="preserve"> with a </w:t>
      </w:r>
      <w:proofErr w:type="spellStart"/>
      <w:r w:rsidR="00BD2385">
        <w:t>kimwipe</w:t>
      </w:r>
      <w:proofErr w:type="spellEnd"/>
      <w:r w:rsidR="00BD2385">
        <w:t xml:space="preserve"> before measuring the absorbance.</w:t>
      </w:r>
      <w:r w:rsidR="006326A7">
        <w:t xml:space="preserve">  Confirm that the spectrophotometer is set to a wavelength of 565 nm.</w:t>
      </w:r>
    </w:p>
    <w:p w:rsidR="00BD2385" w:rsidRDefault="00BD2385" w:rsidP="00BD2385"/>
    <w:p w:rsidR="00BD2385" w:rsidRPr="004F61F0" w:rsidRDefault="00BD2385" w:rsidP="00BD2385">
      <w:pPr>
        <w:rPr>
          <w:b/>
        </w:rPr>
      </w:pPr>
      <w:r w:rsidRPr="004F61F0">
        <w:rPr>
          <w:b/>
          <w:u w:val="single"/>
        </w:rPr>
        <w:t>Calculations</w:t>
      </w:r>
      <w:r w:rsidRPr="004F61F0">
        <w:t>:</w:t>
      </w:r>
    </w:p>
    <w:p w:rsidR="00BD2385" w:rsidRDefault="00BD2385" w:rsidP="00BD2385">
      <w:r>
        <w:t>Complete the following tables and provide sample calculations as directed.</w:t>
      </w:r>
    </w:p>
    <w:p w:rsidR="00BD2385" w:rsidRDefault="00BD2385" w:rsidP="00BD2385"/>
    <w:p w:rsidR="00BD2385" w:rsidRDefault="00BD2385" w:rsidP="00BD2385">
      <w:r>
        <w:t xml:space="preserve"> [FeSCN</w:t>
      </w:r>
      <w:r w:rsidRPr="004F61F0">
        <w:rPr>
          <w:vertAlign w:val="superscript"/>
        </w:rPr>
        <w:t>2+</w:t>
      </w:r>
      <w:r>
        <w:t>] at equilibrium can be calculated</w:t>
      </w:r>
      <w:r w:rsidR="00FE002C">
        <w:t xml:space="preserve"> from the absorbance</w:t>
      </w:r>
      <w:r>
        <w:t xml:space="preserve"> via </w:t>
      </w:r>
      <w:r w:rsidR="000D624F">
        <w:t>the following method:</w:t>
      </w:r>
    </w:p>
    <w:p w:rsidR="00BD2385" w:rsidRDefault="00BD2385" w:rsidP="00BD2385">
      <w:pPr>
        <w:rPr>
          <w:u w:val="single"/>
        </w:rPr>
      </w:pPr>
    </w:p>
    <w:p w:rsidR="00BD2385" w:rsidRPr="006326A7" w:rsidRDefault="00BD2385" w:rsidP="00BD2385">
      <w:pPr>
        <w:rPr>
          <w:i/>
          <w:sz w:val="20"/>
          <w:u w:val="single"/>
        </w:rPr>
      </w:pPr>
      <w:r w:rsidRPr="006326A7">
        <w:rPr>
          <w:i/>
          <w:sz w:val="20"/>
          <w:u w:val="single"/>
        </w:rPr>
        <w:t xml:space="preserve">Method </w:t>
      </w:r>
      <w:r w:rsidR="00D9728C" w:rsidRPr="006326A7">
        <w:rPr>
          <w:i/>
          <w:sz w:val="20"/>
          <w:u w:val="single"/>
        </w:rPr>
        <w:t>A</w:t>
      </w:r>
      <w:r w:rsidRPr="006326A7">
        <w:rPr>
          <w:i/>
          <w:sz w:val="20"/>
          <w:u w:val="single"/>
        </w:rPr>
        <w:t>:</w:t>
      </w:r>
    </w:p>
    <w:p w:rsidR="00FE002C" w:rsidRPr="006326A7" w:rsidRDefault="00BD2385" w:rsidP="00BD2385">
      <w:pPr>
        <w:rPr>
          <w:i/>
          <w:sz w:val="20"/>
        </w:rPr>
      </w:pPr>
      <w:r w:rsidRPr="006326A7">
        <w:rPr>
          <w:i/>
          <w:sz w:val="20"/>
        </w:rPr>
        <w:t xml:space="preserve">Beer-Lambert Law, more commonly known as Beer’s Law, states that the optical absorbance of a </w:t>
      </w:r>
      <w:proofErr w:type="spellStart"/>
      <w:r w:rsidRPr="006326A7">
        <w:rPr>
          <w:i/>
          <w:sz w:val="20"/>
        </w:rPr>
        <w:t>coloured</w:t>
      </w:r>
      <w:proofErr w:type="spellEnd"/>
      <w:r w:rsidRPr="006326A7">
        <w:rPr>
          <w:i/>
          <w:sz w:val="20"/>
        </w:rPr>
        <w:t xml:space="preserve"> substance in a transparent solvent varies linearly with both the sample cell </w:t>
      </w:r>
      <w:proofErr w:type="spellStart"/>
      <w:r w:rsidRPr="006326A7">
        <w:rPr>
          <w:i/>
          <w:sz w:val="20"/>
        </w:rPr>
        <w:t>pathlength</w:t>
      </w:r>
      <w:proofErr w:type="spellEnd"/>
      <w:r w:rsidRPr="006326A7">
        <w:rPr>
          <w:i/>
          <w:sz w:val="20"/>
        </w:rPr>
        <w:t xml:space="preserve"> and the </w:t>
      </w:r>
      <w:proofErr w:type="spellStart"/>
      <w:r w:rsidRPr="006326A7">
        <w:rPr>
          <w:i/>
          <w:sz w:val="20"/>
        </w:rPr>
        <w:t>coloured</w:t>
      </w:r>
      <w:proofErr w:type="spellEnd"/>
      <w:r w:rsidRPr="006326A7">
        <w:rPr>
          <w:i/>
          <w:sz w:val="20"/>
        </w:rPr>
        <w:t xml:space="preserve"> substance</w:t>
      </w:r>
      <w:r w:rsidR="000D624F" w:rsidRPr="006326A7">
        <w:rPr>
          <w:i/>
          <w:sz w:val="20"/>
        </w:rPr>
        <w:t>’</w:t>
      </w:r>
      <w:r w:rsidRPr="006326A7">
        <w:rPr>
          <w:i/>
          <w:sz w:val="20"/>
        </w:rPr>
        <w:t xml:space="preserve">s concentration.  </w:t>
      </w:r>
    </w:p>
    <w:p w:rsidR="00FE002C" w:rsidRPr="006326A7" w:rsidRDefault="00BD2385" w:rsidP="006326A7">
      <w:pPr>
        <w:jc w:val="center"/>
        <w:rPr>
          <w:b/>
          <w:i/>
          <w:sz w:val="20"/>
        </w:rPr>
      </w:pPr>
      <w:r w:rsidRPr="006326A7">
        <w:rPr>
          <w:b/>
          <w:i/>
          <w:sz w:val="20"/>
        </w:rPr>
        <w:t xml:space="preserve">A = </w:t>
      </w:r>
      <w:proofErr w:type="spellStart"/>
      <w:r w:rsidRPr="006326A7">
        <w:rPr>
          <w:b/>
          <w:i/>
          <w:sz w:val="20"/>
        </w:rPr>
        <w:t>ab</w:t>
      </w:r>
      <w:proofErr w:type="spellEnd"/>
      <w:r w:rsidRPr="006326A7">
        <w:rPr>
          <w:b/>
          <w:i/>
          <w:sz w:val="20"/>
        </w:rPr>
        <w:t>[FeSCN</w:t>
      </w:r>
      <w:r w:rsidRPr="006326A7">
        <w:rPr>
          <w:b/>
          <w:i/>
          <w:sz w:val="20"/>
          <w:vertAlign w:val="superscript"/>
        </w:rPr>
        <w:t>2+</w:t>
      </w:r>
      <w:r w:rsidRPr="006326A7">
        <w:rPr>
          <w:b/>
          <w:i/>
          <w:sz w:val="20"/>
        </w:rPr>
        <w:t>]</w:t>
      </w:r>
    </w:p>
    <w:p w:rsidR="00BD2385" w:rsidRPr="006326A7" w:rsidRDefault="00BD2385" w:rsidP="00BD2385">
      <w:pPr>
        <w:rPr>
          <w:i/>
          <w:sz w:val="20"/>
        </w:rPr>
      </w:pPr>
      <w:r w:rsidRPr="006326A7">
        <w:rPr>
          <w:i/>
          <w:sz w:val="20"/>
        </w:rPr>
        <w:t xml:space="preserve">A </w:t>
      </w:r>
      <w:r w:rsidRPr="006326A7">
        <w:rPr>
          <w:i/>
          <w:sz w:val="20"/>
        </w:rPr>
        <w:tab/>
        <w:t>= absorbance</w:t>
      </w:r>
    </w:p>
    <w:p w:rsidR="00BD2385" w:rsidRPr="006326A7" w:rsidRDefault="00BD2385" w:rsidP="00BD2385">
      <w:pPr>
        <w:ind w:left="720" w:hanging="720"/>
        <w:rPr>
          <w:i/>
          <w:sz w:val="20"/>
        </w:rPr>
      </w:pPr>
      <w:r w:rsidRPr="006326A7">
        <w:rPr>
          <w:i/>
          <w:sz w:val="20"/>
        </w:rPr>
        <w:t xml:space="preserve">a </w:t>
      </w:r>
      <w:r w:rsidRPr="006326A7">
        <w:rPr>
          <w:i/>
          <w:sz w:val="20"/>
        </w:rPr>
        <w:tab/>
        <w:t xml:space="preserve">= </w:t>
      </w:r>
      <w:proofErr w:type="spellStart"/>
      <w:r w:rsidRPr="006326A7">
        <w:rPr>
          <w:i/>
          <w:sz w:val="20"/>
        </w:rPr>
        <w:t>absorptivity</w:t>
      </w:r>
      <w:proofErr w:type="spellEnd"/>
      <w:r w:rsidRPr="006326A7">
        <w:rPr>
          <w:i/>
          <w:sz w:val="20"/>
        </w:rPr>
        <w:t xml:space="preserve"> constant for a given solution</w:t>
      </w:r>
      <w:r w:rsidR="000D624F" w:rsidRPr="006326A7">
        <w:rPr>
          <w:i/>
          <w:sz w:val="20"/>
        </w:rPr>
        <w:t xml:space="preserve"> at a given wavelength</w:t>
      </w:r>
      <w:r w:rsidR="000D624F" w:rsidRPr="006326A7">
        <w:rPr>
          <w:i/>
          <w:sz w:val="20"/>
        </w:rPr>
        <w:br/>
        <w:t xml:space="preserve">   at a wavelength </w:t>
      </w:r>
      <w:r w:rsidRPr="006326A7">
        <w:rPr>
          <w:i/>
          <w:sz w:val="20"/>
        </w:rPr>
        <w:t xml:space="preserve">of </w:t>
      </w:r>
      <w:r w:rsidR="00B20F36" w:rsidRPr="006326A7">
        <w:rPr>
          <w:i/>
          <w:sz w:val="20"/>
        </w:rPr>
        <w:t>565</w:t>
      </w:r>
      <w:r w:rsidRPr="006326A7">
        <w:rPr>
          <w:i/>
          <w:sz w:val="20"/>
        </w:rPr>
        <w:t xml:space="preserve"> nm</w:t>
      </w:r>
      <w:r w:rsidR="000D624F" w:rsidRPr="006326A7">
        <w:rPr>
          <w:i/>
          <w:sz w:val="20"/>
        </w:rPr>
        <w:t>,</w:t>
      </w:r>
      <w:r w:rsidRPr="006326A7">
        <w:rPr>
          <w:i/>
          <w:sz w:val="20"/>
        </w:rPr>
        <w:t xml:space="preserve"> a = 4700 L/mol/cm </w:t>
      </w:r>
    </w:p>
    <w:p w:rsidR="00BD2385" w:rsidRPr="006326A7" w:rsidRDefault="00BD2385" w:rsidP="00BD2385">
      <w:pPr>
        <w:ind w:left="720" w:hanging="720"/>
        <w:rPr>
          <w:i/>
          <w:sz w:val="20"/>
        </w:rPr>
      </w:pPr>
      <w:r w:rsidRPr="006326A7">
        <w:rPr>
          <w:i/>
          <w:sz w:val="20"/>
        </w:rPr>
        <w:t>b</w:t>
      </w:r>
      <w:r w:rsidRPr="006326A7">
        <w:rPr>
          <w:i/>
          <w:sz w:val="20"/>
        </w:rPr>
        <w:tab/>
        <w:t xml:space="preserve">= </w:t>
      </w:r>
      <w:proofErr w:type="spellStart"/>
      <w:r w:rsidRPr="006326A7">
        <w:rPr>
          <w:i/>
          <w:sz w:val="20"/>
        </w:rPr>
        <w:t>pathlength</w:t>
      </w:r>
      <w:proofErr w:type="spellEnd"/>
      <w:r w:rsidRPr="006326A7">
        <w:rPr>
          <w:i/>
          <w:sz w:val="20"/>
        </w:rPr>
        <w:t>, 1.00 cm</w:t>
      </w:r>
    </w:p>
    <w:p w:rsidR="00BD2385" w:rsidRDefault="00BD2385" w:rsidP="00BD2385">
      <w:pPr>
        <w:ind w:left="720" w:hanging="720"/>
      </w:pPr>
    </w:p>
    <w:p w:rsidR="00BD2385" w:rsidRDefault="00BD2385" w:rsidP="00BD2385">
      <w:pPr>
        <w:ind w:left="720" w:hanging="720"/>
        <w:rPr>
          <w:b/>
          <w:u w:val="single"/>
        </w:rPr>
      </w:pPr>
    </w:p>
    <w:p w:rsidR="00AA0058" w:rsidRPr="008D49D9" w:rsidRDefault="00AA0058" w:rsidP="00BD2385"/>
    <w:p w:rsidR="00BD2385" w:rsidRDefault="00BD2385">
      <w:pPr>
        <w:rPr>
          <w:b/>
          <w:u w:val="single"/>
        </w:rPr>
      </w:pPr>
    </w:p>
    <w:p w:rsidR="00BD2385" w:rsidRDefault="00BD23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D2385" w:rsidRDefault="00BD2385">
      <w:pPr>
        <w:rPr>
          <w:b/>
          <w:u w:val="single"/>
        </w:rPr>
        <w:sectPr w:rsidR="00BD2385" w:rsidSect="006326A7"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:rsidR="004F3C6F" w:rsidRDefault="006B0865" w:rsidP="004F3C6F">
      <w:pPr>
        <w:jc w:val="center"/>
        <w:rPr>
          <w:b/>
        </w:rPr>
      </w:pPr>
      <w:r w:rsidRPr="006B0865">
        <w:rPr>
          <w:b/>
          <w:noProof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-13.1pt;width:169.5pt;height:24.75pt;z-index:251658240" stroked="f">
            <v:textbox>
              <w:txbxContent>
                <w:p w:rsidR="00192003" w:rsidRDefault="00192003">
                  <w:r>
                    <w:t>Name: ____________________</w:t>
                  </w:r>
                </w:p>
              </w:txbxContent>
            </v:textbox>
          </v:shape>
        </w:pict>
      </w:r>
    </w:p>
    <w:p w:rsidR="004F3C6F" w:rsidRDefault="004F3C6F" w:rsidP="004F3C6F">
      <w:pPr>
        <w:jc w:val="center"/>
        <w:rPr>
          <w:b/>
        </w:rPr>
      </w:pPr>
    </w:p>
    <w:p w:rsidR="004F3C6F" w:rsidRDefault="004F3C6F" w:rsidP="004F3C6F">
      <w:pPr>
        <w:jc w:val="center"/>
        <w:rPr>
          <w:b/>
          <w:vertAlign w:val="subscript"/>
        </w:rPr>
      </w:pPr>
      <w:r>
        <w:rPr>
          <w:b/>
        </w:rPr>
        <w:t>Determining the</w:t>
      </w:r>
      <w:r w:rsidRPr="004E6A3E">
        <w:rPr>
          <w:b/>
        </w:rPr>
        <w:t xml:space="preserve"> Equilibrium Constant</w:t>
      </w:r>
      <w:r>
        <w:rPr>
          <w:b/>
        </w:rPr>
        <w:t>,</w:t>
      </w:r>
      <w:r w:rsidRPr="004E6A3E">
        <w:rPr>
          <w:b/>
        </w:rPr>
        <w:t xml:space="preserve"> </w:t>
      </w:r>
      <w:proofErr w:type="spellStart"/>
      <w:r w:rsidRPr="004E6A3E">
        <w:rPr>
          <w:b/>
        </w:rPr>
        <w:t>K</w:t>
      </w:r>
      <w:r w:rsidRPr="004E6A3E">
        <w:rPr>
          <w:b/>
          <w:vertAlign w:val="subscript"/>
        </w:rPr>
        <w:t>eq</w:t>
      </w:r>
      <w:proofErr w:type="spellEnd"/>
    </w:p>
    <w:p w:rsidR="004F3C6F" w:rsidRPr="00D9728C" w:rsidRDefault="004F3C6F" w:rsidP="004F3C6F">
      <w:pPr>
        <w:jc w:val="center"/>
        <w:rPr>
          <w:i/>
          <w:sz w:val="20"/>
        </w:rPr>
      </w:pPr>
      <w:r w:rsidRPr="00D9728C">
        <w:rPr>
          <w:i/>
          <w:sz w:val="20"/>
        </w:rPr>
        <w:t>Method A</w:t>
      </w:r>
    </w:p>
    <w:p w:rsidR="004F3C6F" w:rsidRDefault="004F3C6F">
      <w:pPr>
        <w:rPr>
          <w:b/>
          <w:u w:val="single"/>
        </w:rPr>
      </w:pPr>
    </w:p>
    <w:p w:rsidR="007C5BF2" w:rsidRDefault="007C5BF2">
      <w:pPr>
        <w:rPr>
          <w:b/>
          <w:u w:val="single"/>
        </w:rPr>
      </w:pPr>
    </w:p>
    <w:p w:rsidR="003A6C73" w:rsidRDefault="007C5BF2">
      <w:pPr>
        <w:rPr>
          <w:b/>
          <w:u w:val="single"/>
        </w:rPr>
      </w:pPr>
      <w:r>
        <w:rPr>
          <w:b/>
          <w:u w:val="single"/>
        </w:rPr>
        <w:t>Results</w:t>
      </w:r>
    </w:p>
    <w:p w:rsidR="00D9728C" w:rsidRPr="00A7639C" w:rsidRDefault="00D9728C">
      <w:pPr>
        <w:rPr>
          <w:b/>
          <w:u w:val="single"/>
        </w:rPr>
      </w:pPr>
    </w:p>
    <w:tbl>
      <w:tblPr>
        <w:tblStyle w:val="TableGrid"/>
        <w:tblW w:w="0" w:type="auto"/>
        <w:tblInd w:w="465" w:type="dxa"/>
        <w:tblLayout w:type="fixed"/>
        <w:tblLook w:val="04A0"/>
      </w:tblPr>
      <w:tblGrid>
        <w:gridCol w:w="1098"/>
        <w:gridCol w:w="2021"/>
        <w:gridCol w:w="2021"/>
        <w:gridCol w:w="2021"/>
        <w:gridCol w:w="2022"/>
      </w:tblGrid>
      <w:tr w:rsidR="004F3C6F" w:rsidTr="004F3C6F"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4F3C6F" w:rsidRPr="003A6C73" w:rsidRDefault="004F3C6F" w:rsidP="00A7639C">
            <w:pPr>
              <w:jc w:val="center"/>
              <w:rPr>
                <w:b/>
              </w:rPr>
            </w:pPr>
            <w:r>
              <w:rPr>
                <w:b/>
              </w:rPr>
              <w:t>Test Tube</w:t>
            </w:r>
          </w:p>
        </w:tc>
        <w:tc>
          <w:tcPr>
            <w:tcW w:w="2021" w:type="dxa"/>
            <w:shd w:val="clear" w:color="auto" w:fill="A6A6A6" w:themeFill="background1" w:themeFillShade="A6"/>
            <w:vAlign w:val="center"/>
          </w:tcPr>
          <w:p w:rsidR="004F3C6F" w:rsidRDefault="004F3C6F" w:rsidP="005C183C">
            <w:pPr>
              <w:jc w:val="center"/>
              <w:rPr>
                <w:b/>
              </w:rPr>
            </w:pPr>
            <w:r w:rsidRPr="003A6C73">
              <w:rPr>
                <w:b/>
              </w:rPr>
              <w:t>Initial</w:t>
            </w:r>
          </w:p>
          <w:p w:rsidR="004F3C6F" w:rsidRPr="003A6C73" w:rsidRDefault="004F3C6F" w:rsidP="005C183C">
            <w:pPr>
              <w:jc w:val="center"/>
              <w:rPr>
                <w:b/>
              </w:rPr>
            </w:pPr>
            <w:r w:rsidRPr="003A6C73">
              <w:rPr>
                <w:b/>
              </w:rPr>
              <w:t>[Fe</w:t>
            </w:r>
            <w:r w:rsidRPr="003A6C73">
              <w:rPr>
                <w:b/>
                <w:vertAlign w:val="superscript"/>
              </w:rPr>
              <w:t>3+</w:t>
            </w:r>
            <w:r w:rsidRPr="003A6C73">
              <w:rPr>
                <w:b/>
              </w:rPr>
              <w:t>]</w:t>
            </w:r>
          </w:p>
        </w:tc>
        <w:tc>
          <w:tcPr>
            <w:tcW w:w="2021" w:type="dxa"/>
            <w:shd w:val="clear" w:color="auto" w:fill="A6A6A6" w:themeFill="background1" w:themeFillShade="A6"/>
            <w:vAlign w:val="center"/>
          </w:tcPr>
          <w:p w:rsidR="004F3C6F" w:rsidRDefault="004F3C6F" w:rsidP="005C183C">
            <w:pPr>
              <w:jc w:val="center"/>
              <w:rPr>
                <w:b/>
              </w:rPr>
            </w:pPr>
            <w:r w:rsidRPr="003A6C73">
              <w:rPr>
                <w:b/>
              </w:rPr>
              <w:t>Initial</w:t>
            </w:r>
          </w:p>
          <w:p w:rsidR="004F3C6F" w:rsidRPr="003A6C73" w:rsidRDefault="004F3C6F" w:rsidP="005C183C">
            <w:pPr>
              <w:jc w:val="center"/>
              <w:rPr>
                <w:b/>
              </w:rPr>
            </w:pPr>
            <w:r w:rsidRPr="003A6C73">
              <w:rPr>
                <w:b/>
              </w:rPr>
              <w:t>[SCN</w:t>
            </w:r>
            <w:r w:rsidRPr="003A6C73">
              <w:rPr>
                <w:b/>
                <w:vertAlign w:val="superscript"/>
              </w:rPr>
              <w:t>-</w:t>
            </w:r>
            <w:r w:rsidRPr="003A6C73">
              <w:rPr>
                <w:b/>
              </w:rPr>
              <w:t>]</w:t>
            </w:r>
          </w:p>
        </w:tc>
        <w:tc>
          <w:tcPr>
            <w:tcW w:w="2021" w:type="dxa"/>
            <w:shd w:val="clear" w:color="auto" w:fill="A6A6A6" w:themeFill="background1" w:themeFillShade="A6"/>
            <w:vAlign w:val="center"/>
          </w:tcPr>
          <w:p w:rsidR="004F3C6F" w:rsidRPr="003A6C73" w:rsidRDefault="004F3C6F" w:rsidP="00A7639C">
            <w:pPr>
              <w:jc w:val="center"/>
              <w:rPr>
                <w:b/>
              </w:rPr>
            </w:pPr>
            <w:r>
              <w:rPr>
                <w:b/>
              </w:rPr>
              <w:t>Absorbance</w:t>
            </w:r>
          </w:p>
        </w:tc>
        <w:tc>
          <w:tcPr>
            <w:tcW w:w="2022" w:type="dxa"/>
            <w:shd w:val="clear" w:color="auto" w:fill="A6A6A6" w:themeFill="background1" w:themeFillShade="A6"/>
            <w:vAlign w:val="center"/>
          </w:tcPr>
          <w:p w:rsidR="004F3C6F" w:rsidRDefault="004F3C6F" w:rsidP="00A7639C">
            <w:pPr>
              <w:jc w:val="center"/>
              <w:rPr>
                <w:b/>
              </w:rPr>
            </w:pPr>
            <w:r>
              <w:rPr>
                <w:b/>
              </w:rPr>
              <w:t>Equilibrium</w:t>
            </w:r>
          </w:p>
          <w:p w:rsidR="004F3C6F" w:rsidRPr="004F3C6F" w:rsidRDefault="004F3C6F" w:rsidP="00A7639C">
            <w:pPr>
              <w:jc w:val="center"/>
              <w:rPr>
                <w:b/>
              </w:rPr>
            </w:pPr>
            <w:r w:rsidRPr="004F3C6F">
              <w:rPr>
                <w:b/>
              </w:rPr>
              <w:t>[FeSCN</w:t>
            </w:r>
            <w:r w:rsidRPr="004F3C6F">
              <w:rPr>
                <w:b/>
                <w:vertAlign w:val="superscript"/>
              </w:rPr>
              <w:t>2+</w:t>
            </w:r>
            <w:r w:rsidRPr="004F3C6F">
              <w:rPr>
                <w:b/>
              </w:rPr>
              <w:t>]</w:t>
            </w:r>
          </w:p>
        </w:tc>
      </w:tr>
      <w:tr w:rsidR="004F3C6F" w:rsidTr="004F3C6F">
        <w:trPr>
          <w:trHeight w:val="560"/>
        </w:trPr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4F3C6F" w:rsidRPr="003A6C73" w:rsidRDefault="004F3C6F" w:rsidP="00A763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2" w:type="dxa"/>
            <w:vAlign w:val="center"/>
          </w:tcPr>
          <w:p w:rsidR="004F3C6F" w:rsidRDefault="004F3C6F" w:rsidP="00A7639C">
            <w:pPr>
              <w:jc w:val="center"/>
            </w:pPr>
          </w:p>
        </w:tc>
      </w:tr>
      <w:tr w:rsidR="004F3C6F" w:rsidTr="004F3C6F">
        <w:trPr>
          <w:trHeight w:val="560"/>
        </w:trPr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4F3C6F" w:rsidRPr="003A6C73" w:rsidRDefault="004F3C6F" w:rsidP="00A763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2" w:type="dxa"/>
            <w:vAlign w:val="center"/>
          </w:tcPr>
          <w:p w:rsidR="004F3C6F" w:rsidRDefault="004F3C6F" w:rsidP="00A7639C">
            <w:pPr>
              <w:jc w:val="center"/>
            </w:pPr>
          </w:p>
        </w:tc>
      </w:tr>
      <w:tr w:rsidR="004F3C6F" w:rsidTr="004F3C6F">
        <w:trPr>
          <w:trHeight w:val="560"/>
        </w:trPr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4F3C6F" w:rsidRPr="003A6C73" w:rsidRDefault="004F3C6F" w:rsidP="00A763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1" w:type="dxa"/>
            <w:vAlign w:val="center"/>
          </w:tcPr>
          <w:p w:rsidR="004F3C6F" w:rsidRDefault="004F3C6F" w:rsidP="00A7639C">
            <w:pPr>
              <w:jc w:val="center"/>
            </w:pPr>
          </w:p>
        </w:tc>
        <w:tc>
          <w:tcPr>
            <w:tcW w:w="2022" w:type="dxa"/>
            <w:vAlign w:val="center"/>
          </w:tcPr>
          <w:p w:rsidR="004F3C6F" w:rsidRDefault="004F3C6F" w:rsidP="00A7639C">
            <w:pPr>
              <w:jc w:val="center"/>
            </w:pPr>
          </w:p>
        </w:tc>
      </w:tr>
    </w:tbl>
    <w:p w:rsidR="00A7639C" w:rsidRDefault="00A7639C"/>
    <w:p w:rsidR="004F3C6F" w:rsidRDefault="004F3C6F">
      <w:pPr>
        <w:rPr>
          <w:b/>
          <w:u w:val="single"/>
        </w:rPr>
      </w:pPr>
    </w:p>
    <w:p w:rsidR="007C5BF2" w:rsidRDefault="007C5BF2">
      <w:pPr>
        <w:rPr>
          <w:b/>
          <w:u w:val="single"/>
        </w:rPr>
      </w:pPr>
    </w:p>
    <w:p w:rsidR="007C5BF2" w:rsidRDefault="007C5BF2">
      <w:pPr>
        <w:rPr>
          <w:b/>
          <w:u w:val="single"/>
        </w:rPr>
      </w:pPr>
    </w:p>
    <w:p w:rsidR="003A6C73" w:rsidRDefault="007C5BF2">
      <w:pPr>
        <w:rPr>
          <w:b/>
          <w:u w:val="single"/>
        </w:rPr>
      </w:pPr>
      <w:r>
        <w:rPr>
          <w:b/>
          <w:u w:val="single"/>
        </w:rPr>
        <w:t>Analysis</w:t>
      </w:r>
    </w:p>
    <w:p w:rsidR="00324141" w:rsidRPr="00324141" w:rsidRDefault="00324141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676"/>
        <w:gridCol w:w="2676"/>
        <w:gridCol w:w="2676"/>
      </w:tblGrid>
      <w:tr w:rsidR="003A6C73" w:rsidTr="000D624F">
        <w:tc>
          <w:tcPr>
            <w:tcW w:w="1548" w:type="dxa"/>
            <w:shd w:val="clear" w:color="auto" w:fill="A6A6A6" w:themeFill="background1" w:themeFillShade="A6"/>
          </w:tcPr>
          <w:p w:rsidR="003A6C73" w:rsidRPr="003A6C73" w:rsidRDefault="003A6C73" w:rsidP="003A6C73">
            <w:pPr>
              <w:jc w:val="center"/>
              <w:rPr>
                <w:b/>
              </w:rPr>
            </w:pPr>
            <w:r w:rsidRPr="003A6C73">
              <w:rPr>
                <w:b/>
              </w:rPr>
              <w:t>Test Tube 1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:rsidR="003A6C73" w:rsidRPr="003A6C73" w:rsidRDefault="006A3F5C" w:rsidP="003A6C73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3A6C73" w:rsidRPr="003A6C73">
              <w:rPr>
                <w:b/>
              </w:rPr>
              <w:t>Fe</w:t>
            </w:r>
            <w:r w:rsidR="003A6C73" w:rsidRPr="003A6C73">
              <w:rPr>
                <w:b/>
                <w:vertAlign w:val="superscript"/>
              </w:rPr>
              <w:t>3+</w:t>
            </w:r>
            <w:r w:rsidRPr="006A3F5C">
              <w:rPr>
                <w:b/>
              </w:rPr>
              <w:t>]</w:t>
            </w:r>
          </w:p>
        </w:tc>
        <w:tc>
          <w:tcPr>
            <w:tcW w:w="2676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3A6C73" w:rsidRPr="003A6C73" w:rsidRDefault="006A3F5C" w:rsidP="003A6C73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3A6C73" w:rsidRPr="003A6C73">
              <w:rPr>
                <w:b/>
              </w:rPr>
              <w:t>SCN</w:t>
            </w:r>
            <w:r w:rsidR="003A6C73" w:rsidRPr="003A6C73">
              <w:rPr>
                <w:b/>
                <w:vertAlign w:val="superscript"/>
              </w:rPr>
              <w:t>-</w:t>
            </w:r>
            <w:r w:rsidRPr="006A3F5C">
              <w:rPr>
                <w:b/>
              </w:rPr>
              <w:t>]</w:t>
            </w:r>
          </w:p>
        </w:tc>
        <w:tc>
          <w:tcPr>
            <w:tcW w:w="2676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3A6C73" w:rsidRPr="003A6C73" w:rsidRDefault="006A3F5C" w:rsidP="003A6C73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3A6C73" w:rsidRPr="003A6C73">
              <w:rPr>
                <w:b/>
              </w:rPr>
              <w:t>FeSCN</w:t>
            </w:r>
            <w:r w:rsidR="003A6C73" w:rsidRPr="003A6C73">
              <w:rPr>
                <w:b/>
                <w:vertAlign w:val="superscript"/>
              </w:rPr>
              <w:t>2+</w:t>
            </w:r>
            <w:r w:rsidRPr="006A3F5C">
              <w:rPr>
                <w:b/>
              </w:rPr>
              <w:t>]</w:t>
            </w:r>
          </w:p>
        </w:tc>
      </w:tr>
      <w:tr w:rsidR="003A6C73" w:rsidTr="000D624F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3A6C73">
            <w:r>
              <w:t>Initial</w:t>
            </w:r>
          </w:p>
        </w:tc>
        <w:tc>
          <w:tcPr>
            <w:tcW w:w="2676" w:type="dxa"/>
            <w:vAlign w:val="center"/>
          </w:tcPr>
          <w:p w:rsidR="003A6C73" w:rsidRDefault="003A6C73" w:rsidP="003A6C73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3A6C73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6B0865" w:rsidP="003A6C73">
            <w:r w:rsidRPr="006B0865">
              <w:rPr>
                <w:b/>
                <w:noProof/>
              </w:rPr>
              <w:pict>
                <v:group id="_x0000_s1032" style="position:absolute;margin-left:147.75pt;margin-top:-4.65pt;width:60.15pt;height:63.35pt;z-index:251665408;mso-position-horizontal-relative:text;mso-position-vertical-relative:text" coordorigin="10305,5370" coordsize="1203,1267">
                  <v:shape id="_x0000_s1029" type="#_x0000_t202" style="position:absolute;left:10308;top:5835;width:1200;height:802" o:regroupid="1">
                    <v:textbox style="mso-next-textbox:#_x0000_s1029">
                      <w:txbxContent>
                        <w:p w:rsidR="000D624F" w:rsidRPr="000D624F" w:rsidRDefault="000D624F" w:rsidP="000D624F"/>
                      </w:txbxContent>
                    </v:textbox>
                  </v:shape>
                  <v:shape id="_x0000_s1028" type="#_x0000_t202" style="position:absolute;left:10305;top:5370;width:1200;height:570" o:regroupid="1" fillcolor="black [3213]">
                    <v:textbox style="mso-next-textbox:#_x0000_s1028">
                      <w:txbxContent>
                        <w:p w:rsidR="000D624F" w:rsidRPr="000D624F" w:rsidRDefault="000D624F" w:rsidP="000D624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proofErr w:type="spellStart"/>
                          <w:r w:rsidRPr="000D624F">
                            <w:rPr>
                              <w:b/>
                              <w:color w:val="FFFFFF" w:themeColor="background1"/>
                              <w:sz w:val="36"/>
                            </w:rPr>
                            <w:t>K</w:t>
                          </w:r>
                          <w:r w:rsidRPr="000D624F">
                            <w:rPr>
                              <w:b/>
                              <w:color w:val="FFFFFF" w:themeColor="background1"/>
                              <w:sz w:val="36"/>
                              <w:vertAlign w:val="subscript"/>
                            </w:rPr>
                            <w:t>eq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</w:tc>
      </w:tr>
      <w:tr w:rsidR="003A6C73" w:rsidTr="000D624F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3A6C73">
            <w:r>
              <w:t>Change</w:t>
            </w:r>
          </w:p>
        </w:tc>
        <w:tc>
          <w:tcPr>
            <w:tcW w:w="2676" w:type="dxa"/>
            <w:vAlign w:val="center"/>
          </w:tcPr>
          <w:p w:rsidR="003A6C73" w:rsidRDefault="003A6C73" w:rsidP="003A6C73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3A6C73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3A6C73" w:rsidP="003A6C73"/>
        </w:tc>
      </w:tr>
      <w:tr w:rsidR="003A6C73" w:rsidTr="000D624F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3A6C73">
            <w:r>
              <w:t xml:space="preserve">Equilibrium </w:t>
            </w:r>
          </w:p>
        </w:tc>
        <w:tc>
          <w:tcPr>
            <w:tcW w:w="2676" w:type="dxa"/>
            <w:vAlign w:val="center"/>
          </w:tcPr>
          <w:p w:rsidR="003A6C73" w:rsidRDefault="003A6C73" w:rsidP="003A6C73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3A6C73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3A6C73" w:rsidP="003A6C73"/>
        </w:tc>
      </w:tr>
    </w:tbl>
    <w:p w:rsidR="003A6C73" w:rsidRDefault="003A6C73"/>
    <w:tbl>
      <w:tblPr>
        <w:tblStyle w:val="TableGrid"/>
        <w:tblW w:w="0" w:type="auto"/>
        <w:tblLook w:val="04A0"/>
      </w:tblPr>
      <w:tblGrid>
        <w:gridCol w:w="1548"/>
        <w:gridCol w:w="2676"/>
        <w:gridCol w:w="2676"/>
        <w:gridCol w:w="2676"/>
      </w:tblGrid>
      <w:tr w:rsidR="006A3F5C" w:rsidTr="004756BD">
        <w:tc>
          <w:tcPr>
            <w:tcW w:w="1548" w:type="dxa"/>
            <w:shd w:val="clear" w:color="auto" w:fill="A6A6A6" w:themeFill="background1" w:themeFillShade="A6"/>
          </w:tcPr>
          <w:p w:rsidR="006A3F5C" w:rsidRPr="003A6C73" w:rsidRDefault="006A3F5C" w:rsidP="003A6C73">
            <w:pPr>
              <w:jc w:val="center"/>
              <w:rPr>
                <w:b/>
              </w:rPr>
            </w:pPr>
            <w:r w:rsidRPr="003A6C73">
              <w:rPr>
                <w:b/>
              </w:rPr>
              <w:t xml:space="preserve">Test Tube </w:t>
            </w:r>
            <w:r>
              <w:rPr>
                <w:b/>
              </w:rPr>
              <w:t>2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:rsidR="006A3F5C" w:rsidRPr="003A6C73" w:rsidRDefault="006A3F5C" w:rsidP="005D6D67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A6C73">
              <w:rPr>
                <w:b/>
              </w:rPr>
              <w:t>Fe</w:t>
            </w:r>
            <w:r w:rsidRPr="003A6C73">
              <w:rPr>
                <w:b/>
                <w:vertAlign w:val="superscript"/>
              </w:rPr>
              <w:t>3+</w:t>
            </w:r>
            <w:r w:rsidRPr="006A3F5C">
              <w:rPr>
                <w:b/>
              </w:rPr>
              <w:t>]</w:t>
            </w:r>
          </w:p>
        </w:tc>
        <w:tc>
          <w:tcPr>
            <w:tcW w:w="2676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6A3F5C" w:rsidRPr="003A6C73" w:rsidRDefault="006A3F5C" w:rsidP="005D6D67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A6C73">
              <w:rPr>
                <w:b/>
              </w:rPr>
              <w:t>SCN</w:t>
            </w:r>
            <w:r w:rsidRPr="003A6C73">
              <w:rPr>
                <w:b/>
                <w:vertAlign w:val="superscript"/>
              </w:rPr>
              <w:t>-</w:t>
            </w:r>
            <w:r w:rsidRPr="006A3F5C">
              <w:rPr>
                <w:b/>
              </w:rPr>
              <w:t>]</w:t>
            </w:r>
          </w:p>
        </w:tc>
        <w:tc>
          <w:tcPr>
            <w:tcW w:w="2676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6A3F5C" w:rsidRPr="003A6C73" w:rsidRDefault="006A3F5C" w:rsidP="005D6D67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A6C73">
              <w:rPr>
                <w:b/>
              </w:rPr>
              <w:t>FeSCN</w:t>
            </w:r>
            <w:r w:rsidRPr="003A6C73">
              <w:rPr>
                <w:b/>
                <w:vertAlign w:val="superscript"/>
              </w:rPr>
              <w:t>2+</w:t>
            </w:r>
            <w:r w:rsidRPr="006A3F5C">
              <w:rPr>
                <w:b/>
              </w:rPr>
              <w:t>]</w:t>
            </w:r>
          </w:p>
        </w:tc>
      </w:tr>
      <w:tr w:rsidR="003A6C73" w:rsidTr="004756BD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D75915">
            <w:r>
              <w:t>Initial</w:t>
            </w:r>
          </w:p>
        </w:tc>
        <w:tc>
          <w:tcPr>
            <w:tcW w:w="2676" w:type="dxa"/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6B0865" w:rsidP="00D75915">
            <w:r w:rsidRPr="006B0865">
              <w:rPr>
                <w:noProof/>
              </w:rPr>
              <w:pict>
                <v:group id="_x0000_s1033" style="position:absolute;margin-left:148.65pt;margin-top:-4.65pt;width:60.15pt;height:63.35pt;z-index:251666432;mso-position-horizontal-relative:text;mso-position-vertical-relative:text" coordorigin="10305,5370" coordsize="1203,1267">
                  <v:shape id="_x0000_s1034" type="#_x0000_t202" style="position:absolute;left:10308;top:5835;width:1200;height:802">
                    <v:textbox style="mso-next-textbox:#_x0000_s1034">
                      <w:txbxContent>
                        <w:p w:rsidR="004756BD" w:rsidRPr="000D624F" w:rsidRDefault="004756BD" w:rsidP="004756BD"/>
                      </w:txbxContent>
                    </v:textbox>
                  </v:shape>
                  <v:shape id="_x0000_s1035" type="#_x0000_t202" style="position:absolute;left:10305;top:5370;width:1200;height:570" fillcolor="black [3213]">
                    <v:textbox style="mso-next-textbox:#_x0000_s1035">
                      <w:txbxContent>
                        <w:p w:rsidR="004756BD" w:rsidRPr="000D624F" w:rsidRDefault="004756BD" w:rsidP="004756B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proofErr w:type="spellStart"/>
                          <w:r w:rsidRPr="000D624F">
                            <w:rPr>
                              <w:b/>
                              <w:color w:val="FFFFFF" w:themeColor="background1"/>
                              <w:sz w:val="36"/>
                            </w:rPr>
                            <w:t>K</w:t>
                          </w:r>
                          <w:r w:rsidRPr="000D624F">
                            <w:rPr>
                              <w:b/>
                              <w:color w:val="FFFFFF" w:themeColor="background1"/>
                              <w:sz w:val="36"/>
                              <w:vertAlign w:val="subscript"/>
                            </w:rPr>
                            <w:t>eq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</w:tc>
      </w:tr>
      <w:tr w:rsidR="003A6C73" w:rsidTr="004756BD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D75915">
            <w:r>
              <w:t>Change</w:t>
            </w:r>
          </w:p>
        </w:tc>
        <w:tc>
          <w:tcPr>
            <w:tcW w:w="2676" w:type="dxa"/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3A6C73" w:rsidP="00D75915"/>
        </w:tc>
      </w:tr>
      <w:tr w:rsidR="003A6C73" w:rsidTr="004756BD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D75915">
            <w:r>
              <w:t xml:space="preserve">Equilibrium </w:t>
            </w:r>
          </w:p>
        </w:tc>
        <w:tc>
          <w:tcPr>
            <w:tcW w:w="2676" w:type="dxa"/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3A6C73" w:rsidP="00D75915"/>
        </w:tc>
      </w:tr>
    </w:tbl>
    <w:p w:rsidR="003A6C73" w:rsidRDefault="003A6C73"/>
    <w:tbl>
      <w:tblPr>
        <w:tblStyle w:val="TableGrid"/>
        <w:tblW w:w="0" w:type="auto"/>
        <w:tblLook w:val="04A0"/>
      </w:tblPr>
      <w:tblGrid>
        <w:gridCol w:w="1548"/>
        <w:gridCol w:w="2676"/>
        <w:gridCol w:w="2676"/>
        <w:gridCol w:w="2676"/>
      </w:tblGrid>
      <w:tr w:rsidR="006A3F5C" w:rsidTr="004756BD">
        <w:tc>
          <w:tcPr>
            <w:tcW w:w="1548" w:type="dxa"/>
            <w:shd w:val="clear" w:color="auto" w:fill="A6A6A6" w:themeFill="background1" w:themeFillShade="A6"/>
          </w:tcPr>
          <w:p w:rsidR="006A3F5C" w:rsidRPr="003A6C73" w:rsidRDefault="006A3F5C" w:rsidP="003A6C73">
            <w:pPr>
              <w:jc w:val="center"/>
              <w:rPr>
                <w:b/>
              </w:rPr>
            </w:pPr>
            <w:r w:rsidRPr="003A6C73">
              <w:rPr>
                <w:b/>
              </w:rPr>
              <w:t xml:space="preserve">Test Tube </w:t>
            </w:r>
            <w:r>
              <w:rPr>
                <w:b/>
              </w:rPr>
              <w:t>3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:rsidR="006A3F5C" w:rsidRPr="003A6C73" w:rsidRDefault="006A3F5C" w:rsidP="005D6D67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A6C73">
              <w:rPr>
                <w:b/>
              </w:rPr>
              <w:t>Fe</w:t>
            </w:r>
            <w:r w:rsidRPr="003A6C73">
              <w:rPr>
                <w:b/>
                <w:vertAlign w:val="superscript"/>
              </w:rPr>
              <w:t>3+</w:t>
            </w:r>
            <w:r w:rsidRPr="006A3F5C">
              <w:rPr>
                <w:b/>
              </w:rPr>
              <w:t>]</w:t>
            </w:r>
          </w:p>
        </w:tc>
        <w:tc>
          <w:tcPr>
            <w:tcW w:w="2676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6A3F5C" w:rsidRPr="003A6C73" w:rsidRDefault="006A3F5C" w:rsidP="005D6D67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A6C73">
              <w:rPr>
                <w:b/>
              </w:rPr>
              <w:t>SCN</w:t>
            </w:r>
            <w:r w:rsidRPr="003A6C73">
              <w:rPr>
                <w:b/>
                <w:vertAlign w:val="superscript"/>
              </w:rPr>
              <w:t>-</w:t>
            </w:r>
            <w:r w:rsidRPr="006A3F5C">
              <w:rPr>
                <w:b/>
              </w:rPr>
              <w:t>]</w:t>
            </w:r>
          </w:p>
        </w:tc>
        <w:tc>
          <w:tcPr>
            <w:tcW w:w="2676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6A3F5C" w:rsidRPr="003A6C73" w:rsidRDefault="006A3F5C" w:rsidP="005D6D67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A6C73">
              <w:rPr>
                <w:b/>
              </w:rPr>
              <w:t>FeSCN</w:t>
            </w:r>
            <w:r w:rsidRPr="003A6C73">
              <w:rPr>
                <w:b/>
                <w:vertAlign w:val="superscript"/>
              </w:rPr>
              <w:t>2+</w:t>
            </w:r>
            <w:r w:rsidRPr="006A3F5C">
              <w:rPr>
                <w:b/>
              </w:rPr>
              <w:t>]</w:t>
            </w:r>
          </w:p>
        </w:tc>
      </w:tr>
      <w:tr w:rsidR="003A6C73" w:rsidTr="004756BD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D75915">
            <w:r>
              <w:t>Initial</w:t>
            </w:r>
          </w:p>
        </w:tc>
        <w:tc>
          <w:tcPr>
            <w:tcW w:w="2676" w:type="dxa"/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6B0865" w:rsidP="00D75915">
            <w:r w:rsidRPr="006B0865">
              <w:rPr>
                <w:noProof/>
              </w:rPr>
              <w:pict>
                <v:group id="_x0000_s1036" style="position:absolute;margin-left:150.45pt;margin-top:-4.65pt;width:60.15pt;height:63.35pt;z-index:251667456;mso-position-horizontal-relative:text;mso-position-vertical-relative:text" coordorigin="10305,5370" coordsize="1203,1267">
                  <v:shape id="_x0000_s1037" type="#_x0000_t202" style="position:absolute;left:10308;top:5835;width:1200;height:802">
                    <v:textbox style="mso-next-textbox:#_x0000_s1037">
                      <w:txbxContent>
                        <w:p w:rsidR="004756BD" w:rsidRPr="000D624F" w:rsidRDefault="004756BD" w:rsidP="004756BD"/>
                      </w:txbxContent>
                    </v:textbox>
                  </v:shape>
                  <v:shape id="_x0000_s1038" type="#_x0000_t202" style="position:absolute;left:10305;top:5370;width:1200;height:570" fillcolor="black [3213]">
                    <v:textbox style="mso-next-textbox:#_x0000_s1038">
                      <w:txbxContent>
                        <w:p w:rsidR="004756BD" w:rsidRPr="000D624F" w:rsidRDefault="004756BD" w:rsidP="004756B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proofErr w:type="spellStart"/>
                          <w:r w:rsidRPr="000D624F">
                            <w:rPr>
                              <w:b/>
                              <w:color w:val="FFFFFF" w:themeColor="background1"/>
                              <w:sz w:val="36"/>
                            </w:rPr>
                            <w:t>K</w:t>
                          </w:r>
                          <w:r w:rsidRPr="000D624F">
                            <w:rPr>
                              <w:b/>
                              <w:color w:val="FFFFFF" w:themeColor="background1"/>
                              <w:sz w:val="36"/>
                              <w:vertAlign w:val="subscript"/>
                            </w:rPr>
                            <w:t>eq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</w:tc>
      </w:tr>
      <w:tr w:rsidR="003A6C73" w:rsidTr="004756BD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D75915">
            <w:r>
              <w:t>Change</w:t>
            </w:r>
          </w:p>
        </w:tc>
        <w:tc>
          <w:tcPr>
            <w:tcW w:w="2676" w:type="dxa"/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3A6C73" w:rsidP="00D75915"/>
        </w:tc>
      </w:tr>
      <w:tr w:rsidR="003A6C73" w:rsidTr="004756BD">
        <w:trPr>
          <w:trHeight w:val="489"/>
        </w:trPr>
        <w:tc>
          <w:tcPr>
            <w:tcW w:w="1548" w:type="dxa"/>
            <w:vAlign w:val="center"/>
          </w:tcPr>
          <w:p w:rsidR="003A6C73" w:rsidRDefault="003A6C73" w:rsidP="00D75915">
            <w:r>
              <w:t xml:space="preserve">Equilibrium </w:t>
            </w:r>
          </w:p>
        </w:tc>
        <w:tc>
          <w:tcPr>
            <w:tcW w:w="2676" w:type="dxa"/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right w:val="single" w:sz="24" w:space="0" w:color="auto"/>
            </w:tcBorders>
            <w:vAlign w:val="center"/>
          </w:tcPr>
          <w:p w:rsidR="003A6C73" w:rsidRDefault="003A6C73" w:rsidP="00D75915"/>
        </w:tc>
        <w:tc>
          <w:tcPr>
            <w:tcW w:w="2676" w:type="dxa"/>
            <w:tcBorders>
              <w:left w:val="single" w:sz="24" w:space="0" w:color="auto"/>
            </w:tcBorders>
            <w:vAlign w:val="center"/>
          </w:tcPr>
          <w:p w:rsidR="003A6C73" w:rsidRDefault="003A6C73" w:rsidP="00D75915"/>
        </w:tc>
      </w:tr>
    </w:tbl>
    <w:p w:rsidR="003A6C73" w:rsidRDefault="003A6C73"/>
    <w:p w:rsidR="003A6C73" w:rsidRDefault="003A6C73"/>
    <w:p w:rsidR="004756BD" w:rsidRDefault="004756BD" w:rsidP="00D9728C">
      <w:pPr>
        <w:rPr>
          <w:b/>
          <w:u w:val="single"/>
        </w:rPr>
      </w:pPr>
    </w:p>
    <w:p w:rsidR="004F3C6F" w:rsidRDefault="004F3C6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C5BF2" w:rsidRDefault="007C5BF2" w:rsidP="00D9728C">
      <w:pPr>
        <w:rPr>
          <w:b/>
          <w:u w:val="single"/>
        </w:rPr>
      </w:pPr>
    </w:p>
    <w:p w:rsidR="007C5BF2" w:rsidRDefault="007C5BF2" w:rsidP="00D9728C">
      <w:pPr>
        <w:rPr>
          <w:b/>
          <w:u w:val="single"/>
        </w:rPr>
      </w:pPr>
    </w:p>
    <w:p w:rsidR="00D9728C" w:rsidRDefault="00D9728C" w:rsidP="00D9728C">
      <w:pPr>
        <w:rPr>
          <w:b/>
          <w:u w:val="single"/>
        </w:rPr>
      </w:pPr>
      <w:r w:rsidRPr="00A7639C">
        <w:rPr>
          <w:b/>
          <w:u w:val="single"/>
        </w:rPr>
        <w:t>Sample Calculations</w:t>
      </w:r>
    </w:p>
    <w:p w:rsidR="004F3C6F" w:rsidRPr="004F3C6F" w:rsidRDefault="004F3C6F" w:rsidP="00D9728C">
      <w:r w:rsidRPr="004F3C6F">
        <w:t xml:space="preserve">Show </w:t>
      </w:r>
      <w:r>
        <w:t>your work for the following calculations, for test tube 2.</w:t>
      </w:r>
    </w:p>
    <w:p w:rsidR="00D9728C" w:rsidRPr="004F3C6F" w:rsidRDefault="00D9728C" w:rsidP="00D9728C">
      <w:pPr>
        <w:pStyle w:val="ListParagraph"/>
        <w:numPr>
          <w:ilvl w:val="0"/>
          <w:numId w:val="1"/>
        </w:numPr>
        <w:ind w:left="360"/>
        <w:rPr>
          <w:b/>
        </w:rPr>
      </w:pPr>
      <w:r w:rsidRPr="004F3C6F">
        <w:t>Initial</w:t>
      </w:r>
      <w:r w:rsidR="004F3C6F">
        <w:t xml:space="preserve"> concentration of </w:t>
      </w:r>
      <w:r w:rsidRPr="004F3C6F">
        <w:t>Fe</w:t>
      </w:r>
      <w:r w:rsidRPr="004F3C6F">
        <w:rPr>
          <w:vertAlign w:val="superscript"/>
        </w:rPr>
        <w:t>3+</w:t>
      </w:r>
      <w:r w:rsidRPr="004F3C6F">
        <w:br/>
      </w:r>
      <w:r w:rsidRPr="004F3C6F">
        <w:br/>
      </w:r>
      <w:r w:rsidR="004756BD" w:rsidRPr="004F3C6F">
        <w:br/>
      </w:r>
      <w:r w:rsidR="007C5BF2">
        <w:br/>
      </w:r>
      <w:r w:rsidRPr="004F3C6F">
        <w:br/>
      </w:r>
      <w:r w:rsidR="004756BD" w:rsidRPr="004F3C6F">
        <w:rPr>
          <w:b/>
        </w:rPr>
        <w:br/>
      </w:r>
      <w:r w:rsidRPr="004F3C6F">
        <w:rPr>
          <w:b/>
        </w:rPr>
        <w:br/>
      </w:r>
    </w:p>
    <w:p w:rsidR="004F3C6F" w:rsidRPr="004F3C6F" w:rsidRDefault="004F3C6F" w:rsidP="004F3C6F">
      <w:pPr>
        <w:pStyle w:val="ListParagraph"/>
        <w:numPr>
          <w:ilvl w:val="0"/>
          <w:numId w:val="1"/>
        </w:numPr>
        <w:ind w:left="360"/>
        <w:rPr>
          <w:b/>
        </w:rPr>
      </w:pPr>
      <w:r w:rsidRPr="004F3C6F">
        <w:t>Initial</w:t>
      </w:r>
      <w:r>
        <w:t xml:space="preserve"> concentration of </w:t>
      </w:r>
      <w:r w:rsidRPr="004F3C6F">
        <w:t>SCN</w:t>
      </w:r>
      <w:r w:rsidRPr="004F3C6F">
        <w:rPr>
          <w:vertAlign w:val="superscript"/>
        </w:rPr>
        <w:t>-</w:t>
      </w:r>
      <w:r w:rsidRPr="004F3C6F">
        <w:br/>
      </w:r>
      <w:r w:rsidRPr="004F3C6F">
        <w:br/>
      </w:r>
      <w:r w:rsidRPr="004F3C6F">
        <w:br/>
      </w:r>
      <w:r w:rsidR="007C5BF2">
        <w:br/>
      </w:r>
      <w:r w:rsidRPr="004F3C6F">
        <w:br/>
      </w:r>
      <w:r w:rsidRPr="004F3C6F">
        <w:rPr>
          <w:b/>
        </w:rPr>
        <w:br/>
      </w:r>
      <w:r w:rsidRPr="004F3C6F">
        <w:rPr>
          <w:b/>
        </w:rPr>
        <w:br/>
      </w:r>
    </w:p>
    <w:p w:rsidR="00D9728C" w:rsidRPr="007C5BF2" w:rsidRDefault="004F3C6F" w:rsidP="004F3C6F">
      <w:pPr>
        <w:pStyle w:val="ListParagraph"/>
        <w:numPr>
          <w:ilvl w:val="0"/>
          <w:numId w:val="1"/>
        </w:numPr>
        <w:ind w:left="360"/>
      </w:pPr>
      <w:r w:rsidRPr="007C5BF2">
        <w:t xml:space="preserve"> </w:t>
      </w:r>
      <w:r w:rsidR="007C5BF2" w:rsidRPr="007C5BF2">
        <w:t xml:space="preserve">Equilibrium concentration of </w:t>
      </w:r>
      <w:r w:rsidR="00D9728C" w:rsidRPr="007C5BF2">
        <w:t>FeSCN</w:t>
      </w:r>
      <w:r w:rsidR="00D9728C" w:rsidRPr="007C5BF2">
        <w:rPr>
          <w:vertAlign w:val="superscript"/>
        </w:rPr>
        <w:t>2+</w:t>
      </w:r>
      <w:r w:rsidR="00D9728C" w:rsidRPr="007C5BF2">
        <w:br/>
      </w:r>
      <w:r w:rsidR="00D9728C" w:rsidRPr="007C5BF2">
        <w:br/>
      </w:r>
      <w:r w:rsidR="00D9728C" w:rsidRPr="007C5BF2">
        <w:br/>
      </w:r>
      <w:r w:rsidR="004756BD" w:rsidRPr="007C5BF2">
        <w:br/>
      </w:r>
      <w:r w:rsidR="007C5BF2">
        <w:br/>
      </w:r>
      <w:r w:rsidR="004756BD" w:rsidRPr="007C5BF2">
        <w:br/>
      </w:r>
      <w:r w:rsidR="00D9728C" w:rsidRPr="007C5BF2">
        <w:br/>
      </w:r>
    </w:p>
    <w:p w:rsidR="000D624F" w:rsidRPr="007C5BF2" w:rsidRDefault="007C5BF2" w:rsidP="00D9728C">
      <w:pPr>
        <w:pStyle w:val="ListParagraph"/>
        <w:numPr>
          <w:ilvl w:val="0"/>
          <w:numId w:val="1"/>
        </w:numPr>
        <w:ind w:left="360"/>
      </w:pPr>
      <w:r w:rsidRPr="007C5BF2">
        <w:t>Equilibrium constant</w:t>
      </w:r>
    </w:p>
    <w:p w:rsidR="000D624F" w:rsidRDefault="000D624F" w:rsidP="000D624F"/>
    <w:p w:rsidR="000D624F" w:rsidRDefault="007C5BF2" w:rsidP="000D624F">
      <w:r>
        <w:br/>
      </w:r>
      <w:r w:rsidR="004756BD">
        <w:br/>
      </w:r>
      <w:r w:rsidR="004756BD">
        <w:br/>
      </w:r>
    </w:p>
    <w:p w:rsidR="000D624F" w:rsidRDefault="007C5BF2" w:rsidP="000D624F">
      <w:r>
        <w:br/>
      </w:r>
    </w:p>
    <w:p w:rsidR="00D9728C" w:rsidRDefault="000D624F" w:rsidP="00D9728C">
      <w:pPr>
        <w:rPr>
          <w:b/>
          <w:u w:val="single"/>
        </w:rPr>
      </w:pPr>
      <w:r w:rsidRPr="000D624F">
        <w:rPr>
          <w:b/>
          <w:u w:val="single"/>
        </w:rPr>
        <w:t>Conclusi</w:t>
      </w:r>
      <w:r w:rsidR="004756BD">
        <w:rPr>
          <w:b/>
          <w:u w:val="single"/>
        </w:rPr>
        <w:t>on</w:t>
      </w:r>
    </w:p>
    <w:p w:rsidR="004756BD" w:rsidRDefault="00AA0058" w:rsidP="00AA0058">
      <w:pPr>
        <w:pStyle w:val="ListParagraph"/>
        <w:numPr>
          <w:ilvl w:val="0"/>
          <w:numId w:val="3"/>
        </w:numPr>
      </w:pPr>
      <w:r w:rsidRPr="00AA0058">
        <w:t xml:space="preserve">Based on your </w:t>
      </w:r>
      <w:r>
        <w:t xml:space="preserve">data, what is the </w:t>
      </w:r>
      <w:r w:rsidR="007C5BF2">
        <w:t xml:space="preserve">equilibrium </w:t>
      </w:r>
      <w:r>
        <w:t xml:space="preserve">constant for this </w:t>
      </w:r>
      <w:r w:rsidR="007C5BF2">
        <w:t>reaction</w:t>
      </w:r>
      <w:r>
        <w:t>?</w:t>
      </w:r>
      <w:r w:rsidR="007C5BF2">
        <w:t xml:space="preserve">  What does this tell us about the equilibrium?</w:t>
      </w:r>
      <w:r>
        <w:br/>
      </w:r>
      <w:r>
        <w:br/>
      </w:r>
      <w:r w:rsidR="00AC2679">
        <w:br/>
      </w:r>
      <w:r>
        <w:br/>
      </w:r>
      <w:r>
        <w:br/>
      </w:r>
    </w:p>
    <w:p w:rsidR="00AA0058" w:rsidRDefault="00AA0058" w:rsidP="00AA0058">
      <w:pPr>
        <w:pStyle w:val="ListParagraph"/>
        <w:numPr>
          <w:ilvl w:val="0"/>
          <w:numId w:val="3"/>
        </w:numPr>
      </w:pPr>
      <w:r>
        <w:t>Do your results support the fact that an equilibrium constant is independent of concentration changes?  Justify your answer.</w:t>
      </w:r>
      <w:r>
        <w:br/>
      </w:r>
      <w:r>
        <w:br/>
      </w:r>
      <w:r w:rsidR="00AC2679">
        <w:br/>
      </w:r>
      <w:r>
        <w:br/>
      </w:r>
      <w:r>
        <w:br/>
      </w:r>
    </w:p>
    <w:p w:rsidR="004756BD" w:rsidRDefault="004756BD" w:rsidP="00D9728C">
      <w:pPr>
        <w:rPr>
          <w:b/>
          <w:u w:val="single"/>
        </w:rPr>
      </w:pPr>
    </w:p>
    <w:p w:rsidR="001E0CD4" w:rsidRPr="008D49D9" w:rsidRDefault="001E0CD4" w:rsidP="004756BD"/>
    <w:sectPr w:rsidR="001E0CD4" w:rsidRPr="008D49D9" w:rsidSect="004756BD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E3"/>
    <w:multiLevelType w:val="hybridMultilevel"/>
    <w:tmpl w:val="7212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2F58"/>
    <w:multiLevelType w:val="hybridMultilevel"/>
    <w:tmpl w:val="C74EACD0"/>
    <w:lvl w:ilvl="0" w:tplc="5776DC66">
      <w:start w:val="1"/>
      <w:numFmt w:val="decimal"/>
      <w:lvlText w:val="%1."/>
      <w:lvlJc w:val="left"/>
      <w:pPr>
        <w:ind w:left="35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4A402DBC"/>
    <w:multiLevelType w:val="hybridMultilevel"/>
    <w:tmpl w:val="934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6CE9"/>
    <w:multiLevelType w:val="hybridMultilevel"/>
    <w:tmpl w:val="0678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A6C73"/>
    <w:rsid w:val="00043B92"/>
    <w:rsid w:val="000D624F"/>
    <w:rsid w:val="001033DA"/>
    <w:rsid w:val="00126CA7"/>
    <w:rsid w:val="00192003"/>
    <w:rsid w:val="001E0CD4"/>
    <w:rsid w:val="00207C50"/>
    <w:rsid w:val="002677A3"/>
    <w:rsid w:val="00324141"/>
    <w:rsid w:val="003A6C73"/>
    <w:rsid w:val="003E15AC"/>
    <w:rsid w:val="004756BD"/>
    <w:rsid w:val="004E6A3E"/>
    <w:rsid w:val="004F3C6F"/>
    <w:rsid w:val="004F61F0"/>
    <w:rsid w:val="0053638C"/>
    <w:rsid w:val="00577D26"/>
    <w:rsid w:val="005958F1"/>
    <w:rsid w:val="005B2734"/>
    <w:rsid w:val="005B5C33"/>
    <w:rsid w:val="006326A7"/>
    <w:rsid w:val="006A3F5C"/>
    <w:rsid w:val="006B0865"/>
    <w:rsid w:val="007C5BF2"/>
    <w:rsid w:val="00891D43"/>
    <w:rsid w:val="008D49D9"/>
    <w:rsid w:val="009F3CD0"/>
    <w:rsid w:val="00A66637"/>
    <w:rsid w:val="00A7639C"/>
    <w:rsid w:val="00A87CB6"/>
    <w:rsid w:val="00AA0058"/>
    <w:rsid w:val="00AC2679"/>
    <w:rsid w:val="00AE397B"/>
    <w:rsid w:val="00B20F36"/>
    <w:rsid w:val="00B61FD3"/>
    <w:rsid w:val="00BD2385"/>
    <w:rsid w:val="00C003EB"/>
    <w:rsid w:val="00CC227B"/>
    <w:rsid w:val="00D13054"/>
    <w:rsid w:val="00D16DE7"/>
    <w:rsid w:val="00D9728C"/>
    <w:rsid w:val="00E4089F"/>
    <w:rsid w:val="00F41E2F"/>
    <w:rsid w:val="00F55285"/>
    <w:rsid w:val="00F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Doug</cp:lastModifiedBy>
  <cp:revision>2</cp:revision>
  <cp:lastPrinted>2015-03-24T17:35:00Z</cp:lastPrinted>
  <dcterms:created xsi:type="dcterms:W3CDTF">2019-03-20T01:37:00Z</dcterms:created>
  <dcterms:modified xsi:type="dcterms:W3CDTF">2019-03-20T01:37:00Z</dcterms:modified>
</cp:coreProperties>
</file>