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55B6" w:rsidRDefault="00C47F7B">
      <w:pPr>
        <w:pStyle w:val="Title"/>
        <w:pBdr>
          <w:top w:val="nil"/>
          <w:left w:val="nil"/>
          <w:bottom w:val="nil"/>
          <w:right w:val="nil"/>
          <w:between w:val="nil"/>
        </w:pBd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St. Thomas High School 2018-2019</w:t>
      </w:r>
      <w:bookmarkStart w:id="0" w:name="_GoBack"/>
      <w:bookmarkEnd w:id="0"/>
    </w:p>
    <w:p w:rsidR="004E55B6" w:rsidRDefault="00C47F7B">
      <w:pPr>
        <w:pStyle w:val="Heading2"/>
        <w:pBdr>
          <w:top w:val="nil"/>
          <w:left w:val="nil"/>
          <w:bottom w:val="nil"/>
          <w:right w:val="nil"/>
          <w:between w:val="nil"/>
        </w:pBd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Course Outline/Evaluation Criteria</w:t>
      </w:r>
    </w:p>
    <w:p w:rsidR="004E55B6" w:rsidRDefault="004E55B6">
      <w:pPr>
        <w:pBdr>
          <w:top w:val="nil"/>
          <w:left w:val="nil"/>
          <w:bottom w:val="nil"/>
          <w:right w:val="nil"/>
          <w:between w:val="nil"/>
        </w:pBdr>
        <w:contextualSpacing w:val="0"/>
        <w:jc w:val="center"/>
        <w:rPr>
          <w:sz w:val="22"/>
          <w:szCs w:val="22"/>
        </w:rPr>
      </w:pPr>
    </w:p>
    <w:tbl>
      <w:tblPr>
        <w:tblStyle w:val="a"/>
        <w:tblW w:w="99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5"/>
        <w:gridCol w:w="5685"/>
        <w:gridCol w:w="2025"/>
      </w:tblGrid>
      <w:tr w:rsidR="004E55B6">
        <w:trPr>
          <w:trHeight w:val="440"/>
        </w:trPr>
        <w:tc>
          <w:tcPr>
            <w:tcW w:w="220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sz w:val="22"/>
                <w:szCs w:val="22"/>
              </w:rPr>
            </w:pPr>
            <w:r>
              <w:rPr>
                <w:b/>
                <w:sz w:val="22"/>
                <w:szCs w:val="22"/>
              </w:rPr>
              <w:t>Teacher’s Name:</w:t>
            </w:r>
          </w:p>
        </w:tc>
        <w:tc>
          <w:tcPr>
            <w:tcW w:w="5685" w:type="dxa"/>
            <w:shd w:val="clear" w:color="auto" w:fill="auto"/>
            <w:tcMar>
              <w:top w:w="0" w:type="dxa"/>
              <w:left w:w="115" w:type="dxa"/>
              <w:bottom w:w="0" w:type="dxa"/>
              <w:right w:w="115" w:type="dxa"/>
            </w:tcMar>
          </w:tcPr>
          <w:p w:rsidR="004E55B6" w:rsidRDefault="00C47F7B">
            <w:pPr>
              <w:pStyle w:val="Heading3"/>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 Cormier / D. McRae</w:t>
            </w:r>
          </w:p>
        </w:tc>
        <w:tc>
          <w:tcPr>
            <w:tcW w:w="2025"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spacing w:after="200" w:line="276" w:lineRule="auto"/>
              <w:contextualSpacing w:val="0"/>
              <w:rPr>
                <w:sz w:val="22"/>
                <w:szCs w:val="22"/>
              </w:rPr>
            </w:pPr>
          </w:p>
        </w:tc>
      </w:tr>
      <w:tr w:rsidR="004E55B6">
        <w:trPr>
          <w:trHeight w:val="400"/>
        </w:trPr>
        <w:tc>
          <w:tcPr>
            <w:tcW w:w="220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sz w:val="22"/>
                <w:szCs w:val="22"/>
              </w:rPr>
            </w:pPr>
            <w:r>
              <w:rPr>
                <w:b/>
                <w:sz w:val="22"/>
                <w:szCs w:val="22"/>
              </w:rPr>
              <w:t>Course:</w:t>
            </w:r>
          </w:p>
        </w:tc>
        <w:tc>
          <w:tcPr>
            <w:tcW w:w="568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sz w:val="22"/>
                <w:szCs w:val="22"/>
              </w:rPr>
            </w:pPr>
            <w:r>
              <w:rPr>
                <w:sz w:val="22"/>
                <w:szCs w:val="22"/>
              </w:rPr>
              <w:t>Financial Literacy</w:t>
            </w:r>
          </w:p>
        </w:tc>
        <w:tc>
          <w:tcPr>
            <w:tcW w:w="2025"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spacing w:before="120"/>
              <w:contextualSpacing w:val="0"/>
              <w:rPr>
                <w:sz w:val="22"/>
                <w:szCs w:val="22"/>
              </w:rPr>
            </w:pPr>
          </w:p>
        </w:tc>
      </w:tr>
      <w:tr w:rsidR="004E55B6">
        <w:trPr>
          <w:trHeight w:val="620"/>
        </w:trPr>
        <w:tc>
          <w:tcPr>
            <w:tcW w:w="2205" w:type="dxa"/>
            <w:shd w:val="clear" w:color="auto" w:fill="auto"/>
            <w:tcMar>
              <w:top w:w="0" w:type="dxa"/>
              <w:left w:w="115" w:type="dxa"/>
              <w:bottom w:w="0" w:type="dxa"/>
              <w:right w:w="115" w:type="dxa"/>
            </w:tcMar>
            <w:vAlign w:val="center"/>
          </w:tcPr>
          <w:p w:rsidR="004E55B6" w:rsidRDefault="00C47F7B">
            <w:pPr>
              <w:pBdr>
                <w:top w:val="nil"/>
                <w:left w:val="nil"/>
                <w:bottom w:val="nil"/>
                <w:right w:val="nil"/>
                <w:between w:val="nil"/>
              </w:pBdr>
              <w:spacing w:before="120"/>
              <w:contextualSpacing w:val="0"/>
              <w:rPr>
                <w:sz w:val="22"/>
                <w:szCs w:val="22"/>
              </w:rPr>
            </w:pPr>
            <w:r>
              <w:rPr>
                <w:b/>
                <w:sz w:val="22"/>
                <w:szCs w:val="22"/>
              </w:rPr>
              <w:t>Level:</w:t>
            </w:r>
            <w:r>
              <w:rPr>
                <w:b/>
                <w:sz w:val="22"/>
                <w:szCs w:val="22"/>
              </w:rPr>
              <w:tab/>
            </w:r>
          </w:p>
        </w:tc>
        <w:tc>
          <w:tcPr>
            <w:tcW w:w="5685" w:type="dxa"/>
            <w:shd w:val="clear" w:color="auto" w:fill="auto"/>
            <w:tcMar>
              <w:top w:w="0" w:type="dxa"/>
              <w:left w:w="115" w:type="dxa"/>
              <w:bottom w:w="0" w:type="dxa"/>
              <w:right w:w="115" w:type="dxa"/>
            </w:tcMar>
            <w:vAlign w:val="center"/>
          </w:tcPr>
          <w:p w:rsidR="004E55B6" w:rsidRDefault="00C47F7B">
            <w:pPr>
              <w:pBdr>
                <w:top w:val="nil"/>
                <w:left w:val="nil"/>
                <w:bottom w:val="nil"/>
                <w:right w:val="nil"/>
                <w:between w:val="nil"/>
              </w:pBdr>
              <w:spacing w:before="120"/>
              <w:contextualSpacing w:val="0"/>
              <w:rPr>
                <w:sz w:val="22"/>
                <w:szCs w:val="22"/>
              </w:rPr>
            </w:pPr>
            <w:r>
              <w:rPr>
                <w:sz w:val="22"/>
                <w:szCs w:val="22"/>
              </w:rPr>
              <w:t>Secondary V</w:t>
            </w:r>
          </w:p>
        </w:tc>
        <w:tc>
          <w:tcPr>
            <w:tcW w:w="2025" w:type="dxa"/>
            <w:shd w:val="clear" w:color="auto" w:fill="auto"/>
            <w:tcMar>
              <w:top w:w="0" w:type="dxa"/>
              <w:left w:w="115" w:type="dxa"/>
              <w:bottom w:w="0" w:type="dxa"/>
              <w:right w:w="115" w:type="dxa"/>
            </w:tcMar>
          </w:tcPr>
          <w:p w:rsidR="004E55B6" w:rsidRDefault="00C47F7B">
            <w:pPr>
              <w:pStyle w:val="Heading1"/>
              <w:pBdr>
                <w:top w:val="nil"/>
                <w:left w:val="nil"/>
                <w:bottom w:val="nil"/>
                <w:right w:val="nil"/>
                <w:between w:val="nil"/>
              </w:pBdr>
              <w:spacing w:before="1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Program:   </w:t>
            </w:r>
          </w:p>
          <w:p w:rsidR="004E55B6" w:rsidRDefault="00C47F7B">
            <w:pPr>
              <w:pStyle w:val="Heading1"/>
              <w:pBdr>
                <w:top w:val="nil"/>
                <w:left w:val="nil"/>
                <w:bottom w:val="nil"/>
                <w:right w:val="nil"/>
                <w:between w:val="nil"/>
              </w:pBdr>
              <w:spacing w:before="120"/>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IB   IMM     ENG</w:t>
            </w:r>
          </w:p>
        </w:tc>
      </w:tr>
      <w:tr w:rsidR="004E55B6">
        <w:trPr>
          <w:trHeight w:val="400"/>
        </w:trPr>
        <w:tc>
          <w:tcPr>
            <w:tcW w:w="220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sz w:val="22"/>
                <w:szCs w:val="22"/>
              </w:rPr>
            </w:pPr>
            <w:r>
              <w:rPr>
                <w:b/>
                <w:sz w:val="22"/>
                <w:szCs w:val="22"/>
              </w:rPr>
              <w:t>Prerequisites:</w:t>
            </w:r>
          </w:p>
        </w:tc>
        <w:tc>
          <w:tcPr>
            <w:tcW w:w="5685" w:type="dxa"/>
            <w:shd w:val="clear" w:color="auto" w:fill="auto"/>
            <w:tcMar>
              <w:top w:w="0" w:type="dxa"/>
              <w:left w:w="115" w:type="dxa"/>
              <w:bottom w:w="0" w:type="dxa"/>
              <w:right w:w="115" w:type="dxa"/>
            </w:tcMar>
          </w:tcPr>
          <w:p w:rsidR="004E55B6" w:rsidRDefault="00C47F7B">
            <w:pPr>
              <w:pStyle w:val="Heading4"/>
              <w:pBdr>
                <w:top w:val="nil"/>
                <w:left w:val="nil"/>
                <w:bottom w:val="nil"/>
                <w:right w:val="nil"/>
                <w:between w:val="nil"/>
              </w:pBd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None</w:t>
            </w:r>
          </w:p>
        </w:tc>
        <w:tc>
          <w:tcPr>
            <w:tcW w:w="2025"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spacing w:after="200" w:line="276" w:lineRule="auto"/>
              <w:contextualSpacing w:val="0"/>
              <w:rPr>
                <w:sz w:val="22"/>
                <w:szCs w:val="22"/>
              </w:rPr>
            </w:pPr>
          </w:p>
        </w:tc>
      </w:tr>
      <w:tr w:rsidR="004E55B6">
        <w:trPr>
          <w:trHeight w:val="400"/>
        </w:trPr>
        <w:tc>
          <w:tcPr>
            <w:tcW w:w="220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b/>
                <w:sz w:val="22"/>
                <w:szCs w:val="22"/>
              </w:rPr>
            </w:pPr>
            <w:r>
              <w:rPr>
                <w:b/>
                <w:sz w:val="22"/>
                <w:szCs w:val="22"/>
              </w:rPr>
              <w:t>Resources:</w:t>
            </w:r>
          </w:p>
        </w:tc>
        <w:tc>
          <w:tcPr>
            <w:tcW w:w="5685" w:type="dxa"/>
            <w:shd w:val="clear" w:color="auto" w:fill="auto"/>
            <w:tcMar>
              <w:top w:w="0" w:type="dxa"/>
              <w:left w:w="115" w:type="dxa"/>
              <w:bottom w:w="0" w:type="dxa"/>
              <w:right w:w="115" w:type="dxa"/>
            </w:tcMar>
          </w:tcPr>
          <w:p w:rsidR="004E55B6" w:rsidRDefault="00C47F7B">
            <w:pPr>
              <w:pStyle w:val="Heading4"/>
              <w:pBdr>
                <w:top w:val="nil"/>
                <w:left w:val="nil"/>
                <w:bottom w:val="nil"/>
                <w:right w:val="nil"/>
                <w:between w:val="nil"/>
              </w:pBd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Textbook: Making Sense of Finance </w:t>
            </w:r>
          </w:p>
        </w:tc>
        <w:tc>
          <w:tcPr>
            <w:tcW w:w="2025"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spacing w:after="200" w:line="276" w:lineRule="auto"/>
              <w:contextualSpacing w:val="0"/>
              <w:rPr>
                <w:sz w:val="22"/>
                <w:szCs w:val="22"/>
              </w:rPr>
            </w:pPr>
          </w:p>
        </w:tc>
      </w:tr>
      <w:tr w:rsidR="004E55B6">
        <w:trPr>
          <w:trHeight w:val="400"/>
        </w:trPr>
        <w:tc>
          <w:tcPr>
            <w:tcW w:w="2205" w:type="dxa"/>
            <w:shd w:val="clear" w:color="auto" w:fill="auto"/>
            <w:tcMar>
              <w:top w:w="0" w:type="dxa"/>
              <w:left w:w="115" w:type="dxa"/>
              <w:bottom w:w="0" w:type="dxa"/>
              <w:right w:w="115" w:type="dxa"/>
            </w:tcMar>
            <w:vAlign w:val="center"/>
          </w:tcPr>
          <w:p w:rsidR="004E55B6" w:rsidRDefault="00C47F7B">
            <w:pPr>
              <w:pBdr>
                <w:top w:val="nil"/>
                <w:left w:val="nil"/>
                <w:bottom w:val="nil"/>
                <w:right w:val="nil"/>
                <w:between w:val="nil"/>
              </w:pBdr>
              <w:spacing w:before="120"/>
              <w:contextualSpacing w:val="0"/>
              <w:rPr>
                <w:sz w:val="22"/>
                <w:szCs w:val="22"/>
              </w:rPr>
            </w:pPr>
            <w:r>
              <w:rPr>
                <w:b/>
                <w:sz w:val="22"/>
                <w:szCs w:val="22"/>
              </w:rPr>
              <w:t>Objectives:</w:t>
            </w:r>
          </w:p>
        </w:tc>
        <w:tc>
          <w:tcPr>
            <w:tcW w:w="5685" w:type="dxa"/>
            <w:shd w:val="clear" w:color="auto" w:fill="auto"/>
            <w:tcMar>
              <w:top w:w="0" w:type="dxa"/>
              <w:left w:w="115" w:type="dxa"/>
              <w:bottom w:w="0" w:type="dxa"/>
              <w:right w:w="115" w:type="dxa"/>
            </w:tcMar>
          </w:tcPr>
          <w:p w:rsidR="004E55B6" w:rsidRDefault="00C47F7B">
            <w:pPr>
              <w:pBdr>
                <w:top w:val="nil"/>
                <w:left w:val="nil"/>
                <w:bottom w:val="nil"/>
                <w:right w:val="nil"/>
                <w:between w:val="nil"/>
              </w:pBdr>
              <w:spacing w:before="120"/>
              <w:contextualSpacing w:val="0"/>
              <w:rPr>
                <w:b/>
                <w:sz w:val="22"/>
                <w:szCs w:val="22"/>
              </w:rPr>
            </w:pPr>
            <w:r>
              <w:rPr>
                <w:b/>
                <w:sz w:val="22"/>
                <w:szCs w:val="22"/>
              </w:rPr>
              <w:t xml:space="preserve">The program focuses on what Secondary V students need to manage their personal finances. </w:t>
            </w:r>
          </w:p>
          <w:p w:rsidR="004E55B6" w:rsidRDefault="00C47F7B">
            <w:pPr>
              <w:pBdr>
                <w:top w:val="nil"/>
                <w:left w:val="nil"/>
                <w:bottom w:val="nil"/>
                <w:right w:val="nil"/>
                <w:between w:val="nil"/>
              </w:pBdr>
              <w:spacing w:before="120"/>
              <w:contextualSpacing w:val="0"/>
              <w:rPr>
                <w:b/>
                <w:sz w:val="22"/>
                <w:szCs w:val="22"/>
              </w:rPr>
            </w:pPr>
            <w:r>
              <w:rPr>
                <w:b/>
                <w:sz w:val="22"/>
                <w:szCs w:val="22"/>
              </w:rPr>
              <w:t>The following three financial issues will be examined:</w:t>
            </w:r>
          </w:p>
          <w:p w:rsidR="004E55B6" w:rsidRDefault="00C47F7B">
            <w:pPr>
              <w:numPr>
                <w:ilvl w:val="0"/>
                <w:numId w:val="1"/>
              </w:numPr>
              <w:pBdr>
                <w:top w:val="nil"/>
                <w:left w:val="nil"/>
                <w:bottom w:val="nil"/>
                <w:right w:val="nil"/>
                <w:between w:val="nil"/>
              </w:pBdr>
              <w:spacing w:before="120"/>
              <w:rPr>
                <w:b/>
                <w:sz w:val="22"/>
                <w:szCs w:val="22"/>
              </w:rPr>
            </w:pPr>
            <w:r>
              <w:rPr>
                <w:b/>
                <w:sz w:val="22"/>
                <w:szCs w:val="22"/>
              </w:rPr>
              <w:t>Consuming goods and services</w:t>
            </w:r>
          </w:p>
          <w:p w:rsidR="004E55B6" w:rsidRDefault="00C47F7B">
            <w:pPr>
              <w:numPr>
                <w:ilvl w:val="0"/>
                <w:numId w:val="1"/>
              </w:numPr>
              <w:pBdr>
                <w:top w:val="nil"/>
                <w:left w:val="nil"/>
                <w:bottom w:val="nil"/>
                <w:right w:val="nil"/>
                <w:between w:val="nil"/>
              </w:pBdr>
              <w:spacing w:before="120"/>
              <w:rPr>
                <w:b/>
                <w:sz w:val="22"/>
                <w:szCs w:val="22"/>
              </w:rPr>
            </w:pPr>
            <w:r>
              <w:rPr>
                <w:b/>
                <w:sz w:val="22"/>
                <w:szCs w:val="22"/>
              </w:rPr>
              <w:t>Pursuing an Education</w:t>
            </w:r>
          </w:p>
          <w:p w:rsidR="004E55B6" w:rsidRDefault="00C47F7B">
            <w:pPr>
              <w:numPr>
                <w:ilvl w:val="0"/>
                <w:numId w:val="1"/>
              </w:numPr>
              <w:pBdr>
                <w:top w:val="nil"/>
                <w:left w:val="nil"/>
                <w:bottom w:val="nil"/>
                <w:right w:val="nil"/>
                <w:between w:val="nil"/>
              </w:pBdr>
              <w:spacing w:before="120"/>
              <w:rPr>
                <w:b/>
                <w:sz w:val="22"/>
                <w:szCs w:val="22"/>
              </w:rPr>
            </w:pPr>
            <w:r>
              <w:rPr>
                <w:b/>
                <w:sz w:val="22"/>
                <w:szCs w:val="22"/>
              </w:rPr>
              <w:t>Entering the workforce</w:t>
            </w:r>
          </w:p>
          <w:p w:rsidR="004E55B6" w:rsidRDefault="004E55B6">
            <w:pPr>
              <w:pBdr>
                <w:top w:val="nil"/>
                <w:left w:val="nil"/>
                <w:bottom w:val="nil"/>
                <w:right w:val="nil"/>
                <w:between w:val="nil"/>
              </w:pBdr>
              <w:contextualSpacing w:val="0"/>
              <w:rPr>
                <w:sz w:val="22"/>
                <w:szCs w:val="22"/>
              </w:rPr>
            </w:pPr>
          </w:p>
        </w:tc>
        <w:tc>
          <w:tcPr>
            <w:tcW w:w="2025"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spacing w:after="200" w:line="276" w:lineRule="auto"/>
              <w:contextualSpacing w:val="0"/>
              <w:rPr>
                <w:sz w:val="22"/>
                <w:szCs w:val="22"/>
              </w:rPr>
            </w:pPr>
          </w:p>
        </w:tc>
      </w:tr>
    </w:tbl>
    <w:p w:rsidR="004E55B6" w:rsidRDefault="004E55B6">
      <w:pPr>
        <w:pBdr>
          <w:top w:val="nil"/>
          <w:left w:val="nil"/>
          <w:bottom w:val="nil"/>
          <w:right w:val="nil"/>
          <w:between w:val="nil"/>
        </w:pBdr>
        <w:contextualSpacing w:val="0"/>
        <w:rPr>
          <w:sz w:val="22"/>
          <w:szCs w:val="22"/>
        </w:rPr>
      </w:pPr>
    </w:p>
    <w:tbl>
      <w:tblPr>
        <w:tblStyle w:val="a0"/>
        <w:tblW w:w="989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90"/>
        <w:gridCol w:w="7709"/>
      </w:tblGrid>
      <w:tr w:rsidR="004E55B6">
        <w:trPr>
          <w:trHeight w:val="2820"/>
        </w:trPr>
        <w:tc>
          <w:tcPr>
            <w:tcW w:w="2190" w:type="dxa"/>
            <w:shd w:val="clear" w:color="auto" w:fill="auto"/>
            <w:tcMar>
              <w:top w:w="0" w:type="dxa"/>
              <w:left w:w="115" w:type="dxa"/>
              <w:bottom w:w="0" w:type="dxa"/>
              <w:right w:w="115" w:type="dxa"/>
            </w:tcMar>
            <w:vAlign w:val="center"/>
          </w:tcPr>
          <w:p w:rsidR="004E55B6" w:rsidRDefault="00C47F7B">
            <w:pPr>
              <w:pBdr>
                <w:top w:val="nil"/>
                <w:left w:val="nil"/>
                <w:bottom w:val="nil"/>
                <w:right w:val="nil"/>
                <w:between w:val="nil"/>
              </w:pBdr>
              <w:contextualSpacing w:val="0"/>
              <w:rPr>
                <w:sz w:val="22"/>
                <w:szCs w:val="22"/>
              </w:rPr>
            </w:pPr>
            <w:r>
              <w:rPr>
                <w:b/>
                <w:sz w:val="22"/>
                <w:szCs w:val="22"/>
              </w:rPr>
              <w:t>Evaluation Criteria:</w:t>
            </w:r>
          </w:p>
        </w:tc>
        <w:tc>
          <w:tcPr>
            <w:tcW w:w="7709"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contextualSpacing w:val="0"/>
              <w:rPr>
                <w:sz w:val="22"/>
                <w:szCs w:val="22"/>
              </w:rPr>
            </w:pPr>
          </w:p>
          <w:p w:rsidR="004E55B6" w:rsidRDefault="00C47F7B">
            <w:pPr>
              <w:pBdr>
                <w:top w:val="nil"/>
                <w:left w:val="nil"/>
                <w:bottom w:val="nil"/>
                <w:right w:val="nil"/>
                <w:between w:val="nil"/>
              </w:pBdr>
              <w:contextualSpacing w:val="0"/>
              <w:rPr>
                <w:sz w:val="22"/>
                <w:szCs w:val="22"/>
              </w:rPr>
            </w:pPr>
            <w:r>
              <w:rPr>
                <w:sz w:val="22"/>
                <w:szCs w:val="22"/>
              </w:rPr>
              <w:t>The program focuses on the development of one competency:</w:t>
            </w:r>
          </w:p>
          <w:p w:rsidR="004E55B6" w:rsidRDefault="004E55B6">
            <w:pPr>
              <w:pBdr>
                <w:top w:val="nil"/>
                <w:left w:val="nil"/>
                <w:bottom w:val="nil"/>
                <w:right w:val="nil"/>
                <w:between w:val="nil"/>
              </w:pBdr>
              <w:contextualSpacing w:val="0"/>
              <w:rPr>
                <w:sz w:val="22"/>
                <w:szCs w:val="22"/>
              </w:rPr>
            </w:pPr>
          </w:p>
          <w:p w:rsidR="004E55B6" w:rsidRDefault="00C47F7B">
            <w:pPr>
              <w:numPr>
                <w:ilvl w:val="0"/>
                <w:numId w:val="2"/>
              </w:numPr>
              <w:pBdr>
                <w:top w:val="nil"/>
                <w:left w:val="nil"/>
                <w:bottom w:val="nil"/>
                <w:right w:val="nil"/>
                <w:between w:val="nil"/>
              </w:pBdr>
              <w:rPr>
                <w:i/>
                <w:sz w:val="22"/>
                <w:szCs w:val="22"/>
              </w:rPr>
            </w:pPr>
            <w:r>
              <w:rPr>
                <w:i/>
                <w:sz w:val="22"/>
                <w:szCs w:val="22"/>
              </w:rPr>
              <w:t>Takes a position on a financial issue</w:t>
            </w:r>
          </w:p>
          <w:p w:rsidR="004E55B6" w:rsidRDefault="004E55B6">
            <w:pPr>
              <w:pBdr>
                <w:top w:val="nil"/>
                <w:left w:val="nil"/>
                <w:bottom w:val="nil"/>
                <w:right w:val="nil"/>
                <w:between w:val="nil"/>
              </w:pBdr>
              <w:contextualSpacing w:val="0"/>
              <w:rPr>
                <w:sz w:val="22"/>
                <w:szCs w:val="22"/>
              </w:rPr>
            </w:pPr>
          </w:p>
          <w:p w:rsidR="004E55B6" w:rsidRDefault="00C47F7B">
            <w:pPr>
              <w:pBdr>
                <w:top w:val="nil"/>
                <w:left w:val="nil"/>
                <w:bottom w:val="nil"/>
                <w:right w:val="nil"/>
                <w:between w:val="nil"/>
              </w:pBdr>
              <w:contextualSpacing w:val="0"/>
              <w:rPr>
                <w:sz w:val="22"/>
                <w:szCs w:val="22"/>
              </w:rPr>
            </w:pPr>
            <w:r>
              <w:rPr>
                <w:sz w:val="22"/>
                <w:szCs w:val="22"/>
              </w:rPr>
              <w:t xml:space="preserve">Evaluation of the development of the competency will come in minor and major assignments. Minor assignments will include daily tasks and quizzes, while major assignment will be more summative and require more depth. </w:t>
            </w:r>
          </w:p>
        </w:tc>
      </w:tr>
      <w:tr w:rsidR="004E55B6">
        <w:trPr>
          <w:trHeight w:val="400"/>
        </w:trPr>
        <w:tc>
          <w:tcPr>
            <w:tcW w:w="2190" w:type="dxa"/>
            <w:shd w:val="clear" w:color="auto" w:fill="auto"/>
            <w:tcMar>
              <w:top w:w="0" w:type="dxa"/>
              <w:left w:w="115" w:type="dxa"/>
              <w:bottom w:w="0" w:type="dxa"/>
              <w:right w:w="115" w:type="dxa"/>
            </w:tcMar>
            <w:vAlign w:val="center"/>
          </w:tcPr>
          <w:p w:rsidR="004E55B6" w:rsidRDefault="004E55B6">
            <w:pPr>
              <w:pBdr>
                <w:top w:val="nil"/>
                <w:left w:val="nil"/>
                <w:bottom w:val="nil"/>
                <w:right w:val="nil"/>
                <w:between w:val="nil"/>
              </w:pBdr>
              <w:contextualSpacing w:val="0"/>
              <w:rPr>
                <w:sz w:val="22"/>
                <w:szCs w:val="22"/>
              </w:rPr>
            </w:pPr>
          </w:p>
          <w:p w:rsidR="004E55B6" w:rsidRDefault="00C47F7B">
            <w:pPr>
              <w:pBdr>
                <w:top w:val="nil"/>
                <w:left w:val="nil"/>
                <w:bottom w:val="nil"/>
                <w:right w:val="nil"/>
                <w:between w:val="nil"/>
              </w:pBdr>
              <w:contextualSpacing w:val="0"/>
              <w:rPr>
                <w:sz w:val="22"/>
                <w:szCs w:val="22"/>
              </w:rPr>
            </w:pPr>
            <w:r>
              <w:rPr>
                <w:b/>
                <w:sz w:val="22"/>
                <w:szCs w:val="22"/>
              </w:rPr>
              <w:t>Content:</w:t>
            </w:r>
          </w:p>
        </w:tc>
        <w:tc>
          <w:tcPr>
            <w:tcW w:w="7709" w:type="dxa"/>
            <w:shd w:val="clear" w:color="auto" w:fill="auto"/>
            <w:tcMar>
              <w:top w:w="0" w:type="dxa"/>
              <w:left w:w="115" w:type="dxa"/>
              <w:bottom w:w="0" w:type="dxa"/>
              <w:right w:w="115" w:type="dxa"/>
            </w:tcMar>
          </w:tcPr>
          <w:p w:rsidR="004E55B6" w:rsidRDefault="004E55B6">
            <w:pPr>
              <w:pBdr>
                <w:top w:val="nil"/>
                <w:left w:val="nil"/>
                <w:bottom w:val="nil"/>
                <w:right w:val="nil"/>
                <w:between w:val="nil"/>
              </w:pBdr>
              <w:contextualSpacing w:val="0"/>
              <w:rPr>
                <w:sz w:val="22"/>
                <w:szCs w:val="22"/>
              </w:rPr>
            </w:pPr>
          </w:p>
          <w:tbl>
            <w:tblPr>
              <w:tblStyle w:val="a1"/>
              <w:tblW w:w="74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39"/>
              <w:gridCol w:w="3740"/>
            </w:tblGrid>
            <w:tr w:rsidR="004E55B6">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b/>
                      <w:sz w:val="22"/>
                      <w:szCs w:val="22"/>
                    </w:rPr>
                  </w:pPr>
                  <w:r>
                    <w:rPr>
                      <w:b/>
                      <w:sz w:val="22"/>
                      <w:szCs w:val="22"/>
                    </w:rPr>
                    <w:t>Financial Issue</w:t>
                  </w:r>
                </w:p>
              </w:tc>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b/>
                      <w:sz w:val="22"/>
                      <w:szCs w:val="22"/>
                    </w:rPr>
                  </w:pPr>
                  <w:r>
                    <w:rPr>
                      <w:b/>
                      <w:sz w:val="22"/>
                      <w:szCs w:val="22"/>
                    </w:rPr>
                    <w:t>Concepts</w:t>
                  </w:r>
                </w:p>
              </w:tc>
            </w:tr>
            <w:tr w:rsidR="004E55B6">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sz w:val="22"/>
                      <w:szCs w:val="22"/>
                    </w:rPr>
                  </w:pPr>
                  <w:r>
                    <w:rPr>
                      <w:sz w:val="22"/>
                      <w:szCs w:val="22"/>
                    </w:rPr>
                    <w:t>Consuming goods and services</w:t>
                  </w:r>
                </w:p>
              </w:tc>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sz w:val="22"/>
                      <w:szCs w:val="22"/>
                    </w:rPr>
                  </w:pPr>
                  <w:r>
                    <w:rPr>
                      <w:sz w:val="22"/>
                      <w:szCs w:val="22"/>
                    </w:rPr>
                    <w:t>Consumption</w:t>
                  </w:r>
                </w:p>
                <w:p w:rsidR="004E55B6" w:rsidRDefault="00C47F7B">
                  <w:pPr>
                    <w:pBdr>
                      <w:top w:val="nil"/>
                      <w:left w:val="nil"/>
                      <w:bottom w:val="nil"/>
                      <w:right w:val="nil"/>
                      <w:between w:val="nil"/>
                    </w:pBdr>
                    <w:contextualSpacing w:val="0"/>
                    <w:rPr>
                      <w:sz w:val="22"/>
                      <w:szCs w:val="22"/>
                    </w:rPr>
                  </w:pPr>
                  <w:r>
                    <w:rPr>
                      <w:sz w:val="22"/>
                      <w:szCs w:val="22"/>
                    </w:rPr>
                    <w:t>Debt</w:t>
                  </w:r>
                </w:p>
                <w:p w:rsidR="004E55B6" w:rsidRDefault="00C47F7B">
                  <w:pPr>
                    <w:pBdr>
                      <w:top w:val="nil"/>
                      <w:left w:val="nil"/>
                      <w:bottom w:val="nil"/>
                      <w:right w:val="nil"/>
                      <w:between w:val="nil"/>
                    </w:pBdr>
                    <w:contextualSpacing w:val="0"/>
                    <w:rPr>
                      <w:sz w:val="22"/>
                      <w:szCs w:val="22"/>
                    </w:rPr>
                  </w:pPr>
                  <w:r>
                    <w:rPr>
                      <w:sz w:val="22"/>
                      <w:szCs w:val="22"/>
                    </w:rPr>
                    <w:t>Purchasing Power</w:t>
                  </w:r>
                </w:p>
                <w:p w:rsidR="004E55B6" w:rsidRDefault="00C47F7B">
                  <w:pPr>
                    <w:pBdr>
                      <w:top w:val="nil"/>
                      <w:left w:val="nil"/>
                      <w:bottom w:val="nil"/>
                      <w:right w:val="nil"/>
                      <w:between w:val="nil"/>
                    </w:pBdr>
                    <w:contextualSpacing w:val="0"/>
                    <w:rPr>
                      <w:sz w:val="22"/>
                      <w:szCs w:val="22"/>
                    </w:rPr>
                  </w:pPr>
                  <w:r>
                    <w:rPr>
                      <w:sz w:val="22"/>
                      <w:szCs w:val="22"/>
                    </w:rPr>
                    <w:t>Savings</w:t>
                  </w:r>
                </w:p>
              </w:tc>
            </w:tr>
            <w:tr w:rsidR="004E55B6">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sz w:val="22"/>
                      <w:szCs w:val="22"/>
                    </w:rPr>
                  </w:pPr>
                  <w:r>
                    <w:rPr>
                      <w:sz w:val="22"/>
                      <w:szCs w:val="22"/>
                    </w:rPr>
                    <w:t>Pursuing Education</w:t>
                  </w:r>
                </w:p>
              </w:tc>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sz w:val="22"/>
                      <w:szCs w:val="22"/>
                    </w:rPr>
                  </w:pPr>
                  <w:r>
                    <w:rPr>
                      <w:sz w:val="22"/>
                      <w:szCs w:val="22"/>
                    </w:rPr>
                    <w:t>Financing</w:t>
                  </w:r>
                </w:p>
                <w:p w:rsidR="004E55B6" w:rsidRDefault="00C47F7B">
                  <w:pPr>
                    <w:pBdr>
                      <w:top w:val="nil"/>
                      <w:left w:val="nil"/>
                      <w:bottom w:val="nil"/>
                      <w:right w:val="nil"/>
                      <w:between w:val="nil"/>
                    </w:pBdr>
                    <w:contextualSpacing w:val="0"/>
                    <w:rPr>
                      <w:sz w:val="22"/>
                      <w:szCs w:val="22"/>
                    </w:rPr>
                  </w:pPr>
                  <w:r>
                    <w:rPr>
                      <w:sz w:val="22"/>
                      <w:szCs w:val="22"/>
                    </w:rPr>
                    <w:t>Qualifications</w:t>
                  </w:r>
                </w:p>
                <w:p w:rsidR="004E55B6" w:rsidRDefault="00C47F7B">
                  <w:pPr>
                    <w:pBdr>
                      <w:top w:val="nil"/>
                      <w:left w:val="nil"/>
                      <w:bottom w:val="nil"/>
                      <w:right w:val="nil"/>
                      <w:between w:val="nil"/>
                    </w:pBdr>
                    <w:contextualSpacing w:val="0"/>
                    <w:rPr>
                      <w:sz w:val="22"/>
                      <w:szCs w:val="22"/>
                    </w:rPr>
                  </w:pPr>
                  <w:r>
                    <w:rPr>
                      <w:sz w:val="22"/>
                      <w:szCs w:val="22"/>
                    </w:rPr>
                    <w:t>Training</w:t>
                  </w:r>
                </w:p>
              </w:tc>
            </w:tr>
            <w:tr w:rsidR="004E55B6">
              <w:tc>
                <w:tcPr>
                  <w:tcW w:w="3739" w:type="dxa"/>
                  <w:shd w:val="clear" w:color="auto" w:fill="auto"/>
                  <w:tcMar>
                    <w:top w:w="100" w:type="dxa"/>
                    <w:left w:w="100" w:type="dxa"/>
                    <w:bottom w:w="100" w:type="dxa"/>
                    <w:right w:w="100" w:type="dxa"/>
                  </w:tcMar>
                </w:tcPr>
                <w:p w:rsidR="004E55B6" w:rsidRDefault="00C47F7B">
                  <w:pPr>
                    <w:pBdr>
                      <w:top w:val="nil"/>
                      <w:left w:val="nil"/>
                      <w:bottom w:val="nil"/>
                      <w:right w:val="nil"/>
                      <w:between w:val="nil"/>
                    </w:pBdr>
                    <w:contextualSpacing w:val="0"/>
                    <w:rPr>
                      <w:sz w:val="22"/>
                      <w:szCs w:val="22"/>
                    </w:rPr>
                  </w:pPr>
                  <w:r>
                    <w:rPr>
                      <w:sz w:val="22"/>
                      <w:szCs w:val="22"/>
                    </w:rPr>
                    <w:t>Entering the Workforce</w:t>
                  </w:r>
                </w:p>
              </w:tc>
              <w:tc>
                <w:tcPr>
                  <w:tcW w:w="3739" w:type="dxa"/>
                  <w:shd w:val="clear" w:color="auto" w:fill="auto"/>
                  <w:tcMar>
                    <w:top w:w="100" w:type="dxa"/>
                    <w:left w:w="100" w:type="dxa"/>
                    <w:bottom w:w="100" w:type="dxa"/>
                    <w:right w:w="100" w:type="dxa"/>
                  </w:tcMar>
                </w:tcPr>
                <w:p w:rsidR="004E55B6" w:rsidRDefault="00C47F7B">
                  <w:pPr>
                    <w:contextualSpacing w:val="0"/>
                    <w:rPr>
                      <w:sz w:val="22"/>
                      <w:szCs w:val="22"/>
                    </w:rPr>
                  </w:pPr>
                  <w:r>
                    <w:rPr>
                      <w:sz w:val="22"/>
                      <w:szCs w:val="22"/>
                    </w:rPr>
                    <w:t>Employment</w:t>
                  </w:r>
                </w:p>
                <w:p w:rsidR="004E55B6" w:rsidRDefault="00C47F7B">
                  <w:pPr>
                    <w:contextualSpacing w:val="0"/>
                    <w:rPr>
                      <w:sz w:val="22"/>
                      <w:szCs w:val="22"/>
                    </w:rPr>
                  </w:pPr>
                  <w:r>
                    <w:rPr>
                      <w:sz w:val="22"/>
                      <w:szCs w:val="22"/>
                    </w:rPr>
                    <w:t xml:space="preserve">Remuneration </w:t>
                  </w:r>
                </w:p>
                <w:p w:rsidR="004E55B6" w:rsidRDefault="00C47F7B">
                  <w:pPr>
                    <w:contextualSpacing w:val="0"/>
                    <w:rPr>
                      <w:sz w:val="22"/>
                      <w:szCs w:val="22"/>
                    </w:rPr>
                  </w:pPr>
                  <w:r>
                    <w:rPr>
                      <w:sz w:val="22"/>
                      <w:szCs w:val="22"/>
                    </w:rPr>
                    <w:t>Taxation</w:t>
                  </w:r>
                </w:p>
              </w:tc>
            </w:tr>
          </w:tbl>
          <w:p w:rsidR="004E55B6" w:rsidRDefault="004E55B6">
            <w:pPr>
              <w:pBdr>
                <w:top w:val="nil"/>
                <w:left w:val="nil"/>
                <w:bottom w:val="nil"/>
                <w:right w:val="nil"/>
                <w:between w:val="nil"/>
              </w:pBdr>
              <w:contextualSpacing w:val="0"/>
              <w:rPr>
                <w:sz w:val="22"/>
                <w:szCs w:val="22"/>
              </w:rPr>
            </w:pPr>
          </w:p>
          <w:p w:rsidR="004E55B6" w:rsidRDefault="004E55B6">
            <w:pPr>
              <w:pBdr>
                <w:top w:val="nil"/>
                <w:left w:val="nil"/>
                <w:bottom w:val="nil"/>
                <w:right w:val="nil"/>
                <w:between w:val="nil"/>
              </w:pBdr>
              <w:contextualSpacing w:val="0"/>
              <w:rPr>
                <w:sz w:val="22"/>
                <w:szCs w:val="22"/>
              </w:rPr>
            </w:pPr>
          </w:p>
        </w:tc>
      </w:tr>
      <w:tr w:rsidR="004E55B6">
        <w:trPr>
          <w:trHeight w:val="400"/>
        </w:trPr>
        <w:tc>
          <w:tcPr>
            <w:tcW w:w="2190" w:type="dxa"/>
            <w:shd w:val="clear" w:color="auto" w:fill="auto"/>
            <w:tcMar>
              <w:top w:w="0" w:type="dxa"/>
              <w:left w:w="115" w:type="dxa"/>
              <w:bottom w:w="0" w:type="dxa"/>
              <w:right w:w="115" w:type="dxa"/>
            </w:tcMar>
            <w:vAlign w:val="center"/>
          </w:tcPr>
          <w:p w:rsidR="004E55B6" w:rsidRDefault="00C47F7B">
            <w:pPr>
              <w:pBdr>
                <w:top w:val="nil"/>
                <w:left w:val="nil"/>
                <w:bottom w:val="nil"/>
                <w:right w:val="nil"/>
                <w:between w:val="nil"/>
              </w:pBdr>
              <w:contextualSpacing w:val="0"/>
              <w:rPr>
                <w:sz w:val="22"/>
                <w:szCs w:val="22"/>
              </w:rPr>
            </w:pPr>
            <w:r>
              <w:rPr>
                <w:b/>
                <w:sz w:val="22"/>
                <w:szCs w:val="22"/>
              </w:rPr>
              <w:t>Contact Information:</w:t>
            </w:r>
          </w:p>
        </w:tc>
        <w:tc>
          <w:tcPr>
            <w:tcW w:w="7709" w:type="dxa"/>
            <w:shd w:val="clear" w:color="auto" w:fill="FFFFFF"/>
            <w:tcMar>
              <w:top w:w="0" w:type="dxa"/>
              <w:left w:w="115" w:type="dxa"/>
              <w:bottom w:w="0" w:type="dxa"/>
              <w:right w:w="115" w:type="dxa"/>
            </w:tcMar>
          </w:tcPr>
          <w:p w:rsidR="004E55B6" w:rsidRDefault="00C47F7B">
            <w:pPr>
              <w:pBdr>
                <w:top w:val="nil"/>
                <w:left w:val="nil"/>
                <w:bottom w:val="nil"/>
                <w:right w:val="nil"/>
                <w:between w:val="nil"/>
              </w:pBdr>
              <w:contextualSpacing w:val="0"/>
              <w:rPr>
                <w:sz w:val="22"/>
                <w:szCs w:val="22"/>
              </w:rPr>
            </w:pPr>
            <w:r>
              <w:rPr>
                <w:sz w:val="22"/>
                <w:szCs w:val="22"/>
                <w:u w:val="single"/>
              </w:rPr>
              <w:t>e-Mail</w:t>
            </w:r>
            <w:r>
              <w:rPr>
                <w:sz w:val="22"/>
                <w:szCs w:val="22"/>
              </w:rPr>
              <w:t xml:space="preserve">: </w:t>
            </w:r>
            <w:hyperlink r:id="rId5">
              <w:r>
                <w:rPr>
                  <w:color w:val="1155CC"/>
                  <w:sz w:val="22"/>
                  <w:szCs w:val="22"/>
                  <w:u w:val="single"/>
                </w:rPr>
                <w:t>gcormier@lbpearson.ca</w:t>
              </w:r>
            </w:hyperlink>
            <w:r>
              <w:rPr>
                <w:sz w:val="22"/>
                <w:szCs w:val="22"/>
              </w:rPr>
              <w:t xml:space="preserve">, </w:t>
            </w:r>
          </w:p>
          <w:p w:rsidR="004E55B6" w:rsidRDefault="00C47F7B">
            <w:pPr>
              <w:pBdr>
                <w:top w:val="nil"/>
                <w:left w:val="nil"/>
                <w:bottom w:val="nil"/>
                <w:right w:val="nil"/>
                <w:between w:val="nil"/>
              </w:pBdr>
              <w:contextualSpacing w:val="0"/>
              <w:rPr>
                <w:sz w:val="22"/>
                <w:szCs w:val="22"/>
              </w:rPr>
            </w:pPr>
            <w:r>
              <w:rPr>
                <w:sz w:val="22"/>
                <w:szCs w:val="22"/>
              </w:rPr>
              <w:t xml:space="preserve">             </w:t>
            </w:r>
            <w:hyperlink r:id="rId6">
              <w:r>
                <w:rPr>
                  <w:color w:val="1155CC"/>
                  <w:sz w:val="22"/>
                  <w:szCs w:val="22"/>
                  <w:u w:val="single"/>
                </w:rPr>
                <w:t>dmcrae@lbpearson.ca</w:t>
              </w:r>
            </w:hyperlink>
            <w:r>
              <w:rPr>
                <w:sz w:val="22"/>
                <w:szCs w:val="22"/>
              </w:rPr>
              <w:t xml:space="preserve"> </w:t>
            </w:r>
            <w:r>
              <w:fldChar w:fldCharType="begin"/>
            </w:r>
            <w:r>
              <w:instrText xml:space="preserve"> HYPERLINK "mailto:amiller@lbpearson.qc.ca" </w:instrText>
            </w:r>
            <w:r>
              <w:fldChar w:fldCharType="separate"/>
            </w:r>
          </w:p>
          <w:p w:rsidR="004E55B6" w:rsidRDefault="00C47F7B">
            <w:pPr>
              <w:pBdr>
                <w:top w:val="nil"/>
                <w:left w:val="nil"/>
                <w:bottom w:val="nil"/>
                <w:right w:val="nil"/>
                <w:between w:val="nil"/>
              </w:pBdr>
              <w:contextualSpacing w:val="0"/>
              <w:rPr>
                <w:sz w:val="22"/>
                <w:szCs w:val="22"/>
              </w:rPr>
            </w:pPr>
            <w:r>
              <w:fldChar w:fldCharType="end"/>
            </w:r>
          </w:p>
        </w:tc>
      </w:tr>
    </w:tbl>
    <w:p w:rsidR="004E55B6" w:rsidRDefault="004E55B6">
      <w:pPr>
        <w:pBdr>
          <w:top w:val="nil"/>
          <w:left w:val="nil"/>
          <w:bottom w:val="nil"/>
          <w:right w:val="nil"/>
          <w:between w:val="nil"/>
        </w:pBdr>
        <w:contextualSpacing w:val="0"/>
        <w:rPr>
          <w:sz w:val="22"/>
          <w:szCs w:val="22"/>
        </w:rPr>
      </w:pPr>
    </w:p>
    <w:sectPr w:rsidR="004E55B6">
      <w:pgSz w:w="12240" w:h="15840"/>
      <w:pgMar w:top="446" w:right="1800" w:bottom="9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0DF4"/>
    <w:multiLevelType w:val="multilevel"/>
    <w:tmpl w:val="DBB0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E43E89"/>
    <w:multiLevelType w:val="multilevel"/>
    <w:tmpl w:val="A690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6"/>
    <w:rsid w:val="004E55B6"/>
    <w:rsid w:val="005E4A92"/>
    <w:rsid w:val="00C4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6CD0C-70DC-459A-AB91-20D0927A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val="0"/>
      <w:outlineLvl w:val="0"/>
    </w:pPr>
    <w:rPr>
      <w:rFonts w:ascii="Arial" w:eastAsia="Arial" w:hAnsi="Arial" w:cs="Arial"/>
      <w:b/>
      <w:color w:val="000000"/>
    </w:rPr>
  </w:style>
  <w:style w:type="paragraph" w:styleId="Heading2">
    <w:name w:val="heading 2"/>
    <w:basedOn w:val="Normal"/>
    <w:next w:val="Normal"/>
    <w:pPr>
      <w:contextualSpacing w:val="0"/>
      <w:jc w:val="center"/>
      <w:outlineLvl w:val="1"/>
    </w:pPr>
    <w:rPr>
      <w:rFonts w:ascii="Arial Black" w:eastAsia="Arial Black" w:hAnsi="Arial Black" w:cs="Arial Black"/>
      <w:color w:val="000000"/>
      <w:sz w:val="24"/>
      <w:szCs w:val="24"/>
    </w:rPr>
  </w:style>
  <w:style w:type="paragraph" w:styleId="Heading3">
    <w:name w:val="heading 3"/>
    <w:basedOn w:val="Normal"/>
    <w:next w:val="Normal"/>
    <w:pPr>
      <w:spacing w:before="120"/>
      <w:contextualSpacing w:val="0"/>
      <w:outlineLvl w:val="2"/>
    </w:pPr>
    <w:rPr>
      <w:rFonts w:ascii="Arial" w:eastAsia="Arial" w:hAnsi="Arial" w:cs="Arial"/>
      <w:color w:val="000000"/>
      <w:sz w:val="24"/>
      <w:szCs w:val="24"/>
    </w:rPr>
  </w:style>
  <w:style w:type="paragraph" w:styleId="Heading4">
    <w:name w:val="heading 4"/>
    <w:basedOn w:val="Normal"/>
    <w:next w:val="Normal"/>
    <w:pPr>
      <w:spacing w:before="120"/>
      <w:contextualSpacing w:val="0"/>
      <w:outlineLvl w:val="3"/>
    </w:pPr>
    <w:rPr>
      <w:rFonts w:ascii="Arial" w:eastAsia="Arial" w:hAnsi="Arial" w:cs="Arial"/>
      <w:b/>
      <w:color w:val="00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val="0"/>
      <w:jc w:val="center"/>
    </w:pPr>
    <w:rPr>
      <w:rFonts w:ascii="Arial Black" w:eastAsia="Arial Black" w:hAnsi="Arial Black" w:cs="Arial Black"/>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crae@lbpearson.ca" TargetMode="External"/><Relationship Id="rId5" Type="http://schemas.openxmlformats.org/officeDocument/2006/relationships/hyperlink" Target="mailto:gcormier@lbpears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Mcrae</dc:creator>
  <cp:lastModifiedBy>Darlene Mcrae</cp:lastModifiedBy>
  <cp:revision>3</cp:revision>
  <dcterms:created xsi:type="dcterms:W3CDTF">2018-08-28T20:53:00Z</dcterms:created>
  <dcterms:modified xsi:type="dcterms:W3CDTF">2018-08-28T20:53:00Z</dcterms:modified>
</cp:coreProperties>
</file>